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профессионального участника рынка ценных бумаг.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836"/>
        <w:gridCol w:w="4669"/>
      </w:tblGrid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Акционерный коммерческий банк Трансстройбанк (Акционерное общество)/ АКБ «Трансстройбанк» (АО)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val="en-US" w:eastAsia="ru-RU"/>
              </w:rPr>
              <w:t>Joint Stock Commercial Bank «Transstroibank» (Joint Stock Company)/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«Transstroibank»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7730059592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786-37-73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43287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4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tsbank@transstroibank.ru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Фамилия, имя, отчество (при наличии последнего) лица, временно исполняющего функции единоличного </w:t>
            </w: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43287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5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ссылка</w:t>
              </w:r>
            </w:hyperlink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</w:t>
            </w: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форекс</w:t>
            </w:r>
            <w:proofErr w:type="spellEnd"/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Член Саморегулируемой организации Национальная ассоциация участников фондового рынка (НАУФОР), с 30 августа 2023 года.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  <w:p w:rsidR="00D80E65" w:rsidRPr="00D80E65" w:rsidRDefault="0043287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6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https://naufor.ru/tree.asp?n=16042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</w:t>
            </w: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Согласно пункту 3 Указания Банка России от 28.12.2015 г № 3921-У информация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</w:t>
            </w: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Профессиональная деятельность на рынке ценных бумаг осуществляется в головном офисе по адресу: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115093, г. Москва, ул. Дубининская, д.94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7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физических лиц (действует с 24.03.2022)</w:t>
              </w:r>
            </w:hyperlink>
          </w:p>
          <w:p w:rsidR="00D80E65" w:rsidRP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8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на заключение депозитарного договора для юридических лиц (действует с 24.03.2022)</w:t>
              </w:r>
            </w:hyperlink>
          </w:p>
          <w:p w:rsidR="00D80E65" w:rsidRP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9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D80E65" w:rsidRP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0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физических лиц (действует с 06.10.2023)</w:t>
              </w:r>
            </w:hyperlink>
          </w:p>
          <w:p w:rsidR="00D80E65" w:rsidRP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1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для юридических лиц (действует с 06.10.2023)</w:t>
              </w:r>
            </w:hyperlink>
          </w:p>
          <w:p w:rsidR="00D80E65" w:rsidRP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2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06.10.2023)</w:t>
              </w:r>
            </w:hyperlink>
          </w:p>
          <w:p w:rsidR="00D80E65" w:rsidRP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3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(действуют с 06.10.2023)</w:t>
              </w:r>
            </w:hyperlink>
          </w:p>
          <w:p w:rsidR="00D80E65" w:rsidRDefault="0043287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00345E"/>
                <w:spacing w:val="2"/>
                <w:sz w:val="24"/>
                <w:szCs w:val="24"/>
                <w:lang w:eastAsia="ru-RU"/>
              </w:rPr>
            </w:pPr>
            <w:hyperlink r:id="rId14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предоставления брокерских услуг с открытием и ведением ИИС (действуют с 06.10.2023)</w:t>
              </w:r>
            </w:hyperlink>
          </w:p>
          <w:p w:rsidR="00A231CD" w:rsidRPr="00517A4A" w:rsidRDefault="00A231CD" w:rsidP="00A231CD">
            <w:pPr>
              <w:pStyle w:val="a3"/>
              <w:shd w:val="clear" w:color="auto" w:fill="F9FBFB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00345E"/>
                <w:spacing w:val="2"/>
              </w:rPr>
              <w:t>З</w:t>
            </w:r>
            <w:hyperlink r:id="rId15" w:history="1"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аявление на заключение депозитарного договора для физических лиц (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 xml:space="preserve">будет 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действ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ова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т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ь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 xml:space="preserve"> с 03.11.2023)</w:t>
              </w:r>
            </w:hyperlink>
          </w:p>
          <w:p w:rsidR="00A231CD" w:rsidRPr="00517A4A" w:rsidRDefault="00A231CD" w:rsidP="00A231CD">
            <w:pPr>
              <w:pStyle w:val="a3"/>
              <w:shd w:val="clear" w:color="auto" w:fill="F9FBFB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6" w:history="1"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на заключение депозитарного договора для юридических лиц (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будет действовать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 xml:space="preserve"> с 03.11.2023)</w:t>
              </w:r>
            </w:hyperlink>
          </w:p>
          <w:p w:rsidR="00A231CD" w:rsidRDefault="00A231CD" w:rsidP="00A231CD">
            <w:pPr>
              <w:pStyle w:val="a3"/>
              <w:shd w:val="clear" w:color="auto" w:fill="F9FBFB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7" w:history="1"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Условия осуществления депозитарной деятельности (</w:t>
              </w:r>
              <w:r w:rsidR="001C61DB"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будут действовать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 xml:space="preserve"> с 03.11.2023)</w:t>
              </w:r>
            </w:hyperlink>
          </w:p>
          <w:p w:rsidR="00A231CD" w:rsidRPr="00D80E65" w:rsidRDefault="00A231CD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Информация о технических сбоях в автоматизированных системах профессионального </w:t>
            </w: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Технические сбои отсутствуют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Технические сбои отсутствуют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Судебные споры отсутствуют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 xml:space="preserve">Перечень участников торгов (участников клиринга), с которыми у клиентского брокера заключены договоры о предоставлении услуг </w:t>
            </w: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Публичное Акционерное Общество «Московская Биржа ММВБ-РТС».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Не приостанавливался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43287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18" w:history="1">
              <w:r w:rsidR="00D80E65" w:rsidRPr="00D80E6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У Банка нет специальных брокерских счетов в кредитных организациях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517A4A" w:rsidRDefault="0043287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00345E"/>
                <w:spacing w:val="2"/>
                <w:sz w:val="24"/>
                <w:szCs w:val="24"/>
                <w:lang w:eastAsia="ru-RU"/>
              </w:rPr>
            </w:pPr>
            <w:hyperlink r:id="rId19" w:history="1">
              <w:r w:rsidR="00D80E65" w:rsidRPr="00517A4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Условия осуществления депозитарной деятельности (действуют с 24.03.2022)</w:t>
              </w:r>
            </w:hyperlink>
          </w:p>
          <w:p w:rsidR="00BA7FF6" w:rsidRPr="00517A4A" w:rsidRDefault="00BA7FF6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00345E"/>
                <w:spacing w:val="2"/>
                <w:sz w:val="24"/>
                <w:szCs w:val="24"/>
                <w:lang w:eastAsia="ru-RU"/>
              </w:rPr>
            </w:pPr>
          </w:p>
          <w:p w:rsidR="00BA7FF6" w:rsidRPr="00D80E65" w:rsidRDefault="00BA7FF6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0" w:history="1"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Условия осуществления депозитарной деятельности (действуют с 03.11.2023)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517A4A" w:rsidRDefault="0043287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00345E"/>
                <w:spacing w:val="2"/>
                <w:sz w:val="24"/>
                <w:szCs w:val="24"/>
                <w:lang w:eastAsia="ru-RU"/>
              </w:rPr>
            </w:pPr>
            <w:hyperlink r:id="rId21" w:history="1">
              <w:r w:rsidR="00D80E65" w:rsidRPr="00517A4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депонентами в депозитарий (действуют с 24.03.2022)</w:t>
              </w:r>
            </w:hyperlink>
          </w:p>
          <w:p w:rsidR="00BA7FF6" w:rsidRPr="00517A4A" w:rsidRDefault="00BA7FF6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00345E"/>
                <w:spacing w:val="2"/>
                <w:sz w:val="24"/>
                <w:szCs w:val="24"/>
                <w:lang w:eastAsia="ru-RU"/>
              </w:rPr>
            </w:pPr>
          </w:p>
          <w:p w:rsidR="00BA7FF6" w:rsidRPr="00D80E65" w:rsidRDefault="00BA7FF6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2" w:history="1"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Формы документов, предоставляемые депонентами в депозитарий (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будут действовать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 xml:space="preserve"> с 03.11.2023)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517A4A" w:rsidRDefault="0043287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00345E"/>
                <w:spacing w:val="2"/>
                <w:sz w:val="24"/>
                <w:szCs w:val="24"/>
                <w:lang w:eastAsia="ru-RU"/>
              </w:rPr>
            </w:pPr>
            <w:hyperlink r:id="rId23" w:history="1">
              <w:r w:rsidR="00D80E65" w:rsidRPr="00517A4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Формы документов, предоставляемые депозитарием депонентам (</w:t>
              </w:r>
              <w:r w:rsidR="00BA7FF6" w:rsidRPr="00517A4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>будут действовать</w:t>
              </w:r>
              <w:r w:rsidR="00D80E65" w:rsidRPr="00517A4A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lang w:eastAsia="ru-RU"/>
                </w:rPr>
                <w:t xml:space="preserve"> с 24.03.2022)</w:t>
              </w:r>
            </w:hyperlink>
          </w:p>
          <w:p w:rsidR="00BA7FF6" w:rsidRPr="00517A4A" w:rsidRDefault="00BA7FF6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00345E"/>
                <w:spacing w:val="2"/>
                <w:sz w:val="24"/>
                <w:szCs w:val="24"/>
                <w:lang w:eastAsia="ru-RU"/>
              </w:rPr>
            </w:pPr>
          </w:p>
          <w:p w:rsidR="00BA7FF6" w:rsidRPr="00D80E65" w:rsidRDefault="00BA7FF6" w:rsidP="00BA7FF6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hyperlink r:id="rId24" w:history="1"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Формы документов, предоставляемые депозитарием депонентам (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 xml:space="preserve">будут 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действ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ова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т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>ь</w:t>
              </w:r>
              <w:r w:rsidRPr="00517A4A">
                <w:rPr>
                  <w:rStyle w:val="a4"/>
                  <w:rFonts w:ascii="RF Dewi" w:hAnsi="RF Dewi"/>
                  <w:color w:val="00345E"/>
                  <w:spacing w:val="2"/>
                  <w:sz w:val="24"/>
                  <w:szCs w:val="24"/>
                  <w:u w:val="none"/>
                  <w:shd w:val="clear" w:color="auto" w:fill="F9FBFB"/>
                </w:rPr>
                <w:t xml:space="preserve"> с 03.11.2023)</w:t>
              </w:r>
            </w:hyperlink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after="0" w:line="240" w:lineRule="auto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D80E65" w:rsidRPr="00D80E65" w:rsidTr="00D80E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D80E65" w:rsidRPr="00D80E65" w:rsidRDefault="00D80E65" w:rsidP="00D80E65">
            <w:pPr>
              <w:spacing w:before="150" w:after="150" w:line="240" w:lineRule="auto"/>
              <w:jc w:val="center"/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</w:pPr>
            <w:r w:rsidRPr="00D80E65">
              <w:rPr>
                <w:rFonts w:ascii="RF Dewi" w:eastAsia="Times New Roman" w:hAnsi="RF Dewi" w:cs="Times New Roman"/>
                <w:color w:val="202020"/>
                <w:spacing w:val="2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</w:tbl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</w:p>
    <w:p w:rsidR="00D80E65" w:rsidRPr="00D80E65" w:rsidRDefault="00D80E65" w:rsidP="00D80E65">
      <w:pP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Данные от </w:t>
      </w:r>
      <w:r w:rsidR="0043287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2</w:t>
      </w:r>
      <w:bookmarkStart w:id="0" w:name="_GoBack"/>
      <w:bookmarkEnd w:id="0"/>
      <w:r w:rsidRPr="00D80E6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6.10.2023 года</w:t>
      </w:r>
    </w:p>
    <w:p w:rsidR="00A63213" w:rsidRDefault="00A63213"/>
    <w:sectPr w:rsidR="00A6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2A"/>
    <w:rsid w:val="001C61DB"/>
    <w:rsid w:val="00432875"/>
    <w:rsid w:val="00517A4A"/>
    <w:rsid w:val="00A231CD"/>
    <w:rsid w:val="00A63213"/>
    <w:rsid w:val="00BA7FF6"/>
    <w:rsid w:val="00D80E65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CB1"/>
  <w15:chartTrackingRefBased/>
  <w15:docId w15:val="{C6DE486E-91F8-4DBD-9605-A00F6FD9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0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24.03.2022).doc" TargetMode="External"/><Relationship Id="rId13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%D0%B1%D1%80%D0%BE%D0%BA%D0%B5%D1%80%D1%81%D0%BA%D0%B8%D1%85_%D1%83%D1%81%D0%BB%D1%83%D0%B3_10.23_(%D0%B2%D1%81%D1%82%D1%83%D0%BF%D0%B0%D1%8E%D1%82_%D0%B2_%D1%81%D0%B8%D0%BB%D1%83_%D1%81_06.10.2023).doc" TargetMode="External"/><Relationship Id="rId18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24.03.2022).doc" TargetMode="External"/><Relationship Id="rId7" Type="http://schemas.openxmlformats.org/officeDocument/2006/relationships/hyperlink" Target="https://transstroybank.ru/2022/3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24.03.2022).doc" TargetMode="External"/><Relationship Id="rId12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(%D0%98%D0%98%D0%A1)_(%D0%B2%D1%81%D1%82%D1%83%D0%BF%D0%B0%D0%B5%D1%82_%D0%B2_%D1%81%D0%B8%D0%BB%D1%83_%D1%81_06.10.2023).doc" TargetMode="External"/><Relationship Id="rId17" Type="http://schemas.openxmlformats.org/officeDocument/2006/relationships/hyperlink" Target="https://193.42.145.63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193.42.145.63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E%D1%80%D0%B8%D0%B4%D0%B8%D1%87%D0%B5%D1%81%D0%BA%D0%B8%D1%85_%D0%BB%D0%B8%D1%86_(%D0%B2%D1%81%D1%82%D1%83%D0%BF%D0%B0%D0%B5%D1%82_%D0%B2_%D1%81%D0%B8%D0%BB%D1%83_%D1%81_03.11.2023).doc" TargetMode="External"/><Relationship Id="rId20" Type="http://schemas.openxmlformats.org/officeDocument/2006/relationships/hyperlink" Target="https://193.42.145.63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for.ru/tree.asp?n=16042" TargetMode="External"/><Relationship Id="rId11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E%D0%9B_(%D0%B2%D1%81%D1%82%D1%83%D0%BF%D0%B0%D0%B5%D1%82_%D0%B2_%D1%81%D0%B8%D0%BB%D1%83_%D1%81_06.10.2023).doc" TargetMode="External"/><Relationship Id="rId24" Type="http://schemas.openxmlformats.org/officeDocument/2006/relationships/hyperlink" Target="https://193.42.145.63/2023/Brocker/point23_26_10_23/%D0%A4%D0%BE%D1%80%D0%BC%D1%8B_%D0%B4%D0%BE%D0%BA%D1%83%D0%BC%D0%B5%D0%BD%D1%82%D0%BE%D0%B2,_%D0%BF%D1%80%D0%B5%D0%B4%D0%BE%D1%81%D1%82%D0%B0%D0%B2%D0%BB%D1%8F%D0%B5%D0%BC%D1%8B%D0%B5_%D0%B4%D0%B5%D0%BF%D0%BE%D0%B7%D0%B8%D1%82%D0%B0%D1%80%D0%B8%D0%B5%D0%BC_%D0%B4%D0%B5%D0%BF%D0%BE%D0%BD%D0%B5%D0%BD%D1%82%D0%B0%D0%BC_(%D0%B2%D1%81%D1%82%D1%83%D0%BF%D0%B0%D1%8E%D1%82_%D0%B2_%D1%81%D0%B8%D0%BB%D1%83_%D1%81_03.11.2023).doc" TargetMode="Externa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193.42.145.63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4%D0%B8%D0%B7%D0%B8%D1%87%D0%B5%D1%81%D0%BA%D0%B8%D1%85_%D0%BB%D0%B8%D1%86_(%D0%B2%D1%81%D1%82%D1%83%D0%BF%D0%B0%D0%B5%D1%82_%D0%B2_%D1%81%D0%B8%D0%BB%D1%83_%D1%81_03.11.2023).doc" TargetMode="External"/><Relationship Id="rId23" Type="http://schemas.openxmlformats.org/officeDocument/2006/relationships/hyperlink" Target="https://transstroybank.ru/2022/3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24.03.2022).doc" TargetMode="External"/><Relationship Id="rId10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10.2023).doc" TargetMode="External"/><Relationship Id="rId19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2/3/%D0%A3%D1%81%D0%BB%D0%BE%D0%B2%D0%B8%D1%8F%20%D0%BE%D1%81%D1%83%D1%89%D0%B5%D1%81%D1%82%D0%B2%D0%BB%D0%B5%D0%BD%D0%B8%D1%8F%20%D0%B4%D0%B5%D0%BF%D0%BE%D0%B7%D0%B8%D1%82%D0%B0%D1%80%D0%BD%D0%BE%D0%B9%20%D0%B4%D0%B5%D1%8F%D1%82%D0%B5%D0%BB%D1%8C%D0%BD%D0%BE%D1%81%D1%82%D0%B8%20(%D0%B4%D0%B5%D0%B9%D1%81%D1%82%D0%B2%D1%83%D1%8E%D1%82%20%D1%81%2024.03.2022).docx" TargetMode="External"/><Relationship Id="rId14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(%D0%98%D0%98%D0%A1)_10.23_(%D0%B2%D1%81%D1%82%D1%83%D0%BF%D0%B0%D1%8E%D1%82_%D0%B2_%D1%81%D0%B8%D0%BB%D1%83_%D1%81_06.10.2023).docx" TargetMode="External"/><Relationship Id="rId22" Type="http://schemas.openxmlformats.org/officeDocument/2006/relationships/hyperlink" Target="https://193.42.145.63/2023/Brocker/point23_26_10_23/%D0%A4%D0%BE%D1%80%D0%BC%D1%8B_%D0%B4%D0%BE%D0%BA%D1%83%D0%BC%D0%B5%D0%BD%D1%82%D0%BE%D0%B2,_%D0%BF%D1%80%D0%B5%D0%B4%D0%BE%D1%81%D1%82%D0%B0%D0%B2%D0%BB%D1%8F%D0%B5%D0%BC%D1%8B%D0%B5_%D0%B4%D0%B5%D0%BF%D0%BE%D0%BD%D0%B5%D0%BD%D1%82%D0%B0%D0%BC%D0%B8_%D0%B2_%D0%B4%D0%B5%D0%BF%D0%BE%D0%B7%D0%B8%D1%82%D0%B0%D1%80%D0%B8%D0%B9_(%D0%B2%D1%81%D1%82%D1%83%D0%BF%D0%B0%D1%8E%D1%82_%D0%B2_%D1%81%D0%B8%D0%BB%D1%83_%D1%81_03.11.2023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Андрей Ванжа</cp:lastModifiedBy>
  <cp:revision>7</cp:revision>
  <dcterms:created xsi:type="dcterms:W3CDTF">2023-10-26T07:06:00Z</dcterms:created>
  <dcterms:modified xsi:type="dcterms:W3CDTF">2023-11-03T14:50:00Z</dcterms:modified>
</cp:coreProperties>
</file>