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F79" w:rsidRPr="008A5F79" w:rsidRDefault="008A5F79" w:rsidP="008A5F79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A5F7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«Трансстройбанк» (АО) как профессионального участника рынка ценных бумаг.</w:t>
      </w:r>
    </w:p>
    <w:p w:rsidR="008A5F79" w:rsidRPr="008A5F79" w:rsidRDefault="008A5F79" w:rsidP="008A5F79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A5F7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8A5F79" w:rsidRPr="008A5F79" w:rsidRDefault="008A5F79" w:rsidP="008A5F79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A5F7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8A5F79" w:rsidRPr="008A5F79" w:rsidRDefault="008A5F79" w:rsidP="008A5F79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A5F7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869"/>
        <w:gridCol w:w="4696"/>
      </w:tblGrid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Информация, подлежащая обязательному раскрытию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Акционерный коммерческий банк Трансстройбанк (Акционерное </w:t>
            </w:r>
            <w:proofErr w:type="gramStart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АКБ «Трансстройбанк» (АО)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  <w:t>Joint Stock Commercial Bank «Transstroibank» (Joint Stock Company)/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«Transstroibank»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7730059592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профессионального участника рынка ценных бумаг, указанный в ЕГРЮЛ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Номер телефона, факса (при наличии последнего)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786-37-73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электронной почты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4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tsbank@transstroibank.ru</w:t>
              </w:r>
            </w:hyperlink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Фамилия, имя, отчество (при наличии последнего) лица, </w:t>
            </w: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временно исполняющего функции единоличного исполнительного органа профессионального участника рынка ценных бумаг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Электронные копии всех лицензий на осуществление профессиональной деятельности на рынке ценных бумаг, созданные посредством сканирования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5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ссылка</w:t>
              </w:r>
            </w:hyperlink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принятии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форекс</w:t>
            </w:r>
            <w:proofErr w:type="spellEnd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-дилеров,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Член Саморегулируемой организации «Национальная финансовая ассоциация» с 08.04.2016 г.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6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http://new.nfa.ru/guide/index.php</w:t>
              </w:r>
            </w:hyperlink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бухгалтерская (финансовая) отчетность, представленная в налоговый орган, и аудиторское заключение по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Расчет собственных средств, осуществленный в соответствии с требованиями Банка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</w:t>
            </w:r>
            <w:proofErr w:type="gramStart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информация</w:t>
            </w:r>
            <w:proofErr w:type="gramEnd"/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головном офисе по адресу: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Образец договора (образцы договоров), предлагаемый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7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физических лиц (действует с 24.03.2022)</w:t>
              </w:r>
            </w:hyperlink>
          </w:p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8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юридических лиц (действует с 24.03.2022)</w:t>
              </w:r>
            </w:hyperlink>
          </w:p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9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0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физических лиц (действует с 06.04.2023)</w:t>
              </w:r>
            </w:hyperlink>
          </w:p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1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юридических лиц (действует с 06.04.2023)</w:t>
              </w:r>
            </w:hyperlink>
          </w:p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2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06.04.2023)</w:t>
              </w:r>
            </w:hyperlink>
          </w:p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3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(действуют с 06.04.2023)</w:t>
              </w:r>
            </w:hyperlink>
          </w:p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4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с открытием и ведением ИИС (действуют с 06.04.2023)</w:t>
              </w:r>
            </w:hyperlink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технических сбоях в автоматизированных системах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бумаг, с указанием даты, времени и причин прекращения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работоспособности автоматизированных систем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подряд, с указанием даты, времени и причин прекращения, а для профессиональных участников рынка ценных бумаг, оказывающих услуги по хранению сертификатов ценных бумаг и (или) учету и переходу прав на ценные бумаги или осуществляющих профессиональную деятельность по ведению реестра владельцев ценных бумаг, - одного календарного дня с указанием даты, времени и причин прекращения осуществления деятельности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(в целях настоящего Указания, если исковые требования выражены в денежном эквиваленте, судебный спор является существенным, когда исковые требования превышают 10 процентов от валюты баланса профессионального участника рынка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Судебные споры отсутствуют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брокерскую деятельность (далее - брокер), дополнительно раскрывает: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Указание на то, что брокер является клиентским брокером в соответствии с Указанием Банка России от 25 июля 2014 года N 3349-У "О единых требованиях к правилам осуществления брокерской деятельности при совершении операций с имуществом клиента брокера", зарегистрированным Министерством юстиции Российской Федерации 25 августа 2014 года N 33865 ("Вестник Банка России" от 10 сентября 2014 года N 81). Информация раскрывается только клиентским брокером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участников торгов (участников клиринга), с которыми у клиентского брокера заключены договоры о предоставлении услуг участниками торгов (участниками клиринга)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клиринговых организаций, с которыми брокер заключил договоры об оказании ему клиринговых услуг (при наличии), с указанием их полного фирменного наименования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 Акционерное общество "Национальный расчетный депозитарий" 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организаторов торговли, в том числе иностранных, где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Публичное Акционерное Общество «Московская Биржа ММВБ-РТС».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организованным торгам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5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Регламент признания лиц квалифицированными инвесторами (действует с 07.11.2021)</w:t>
              </w:r>
            </w:hyperlink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кредитных организаций, в которых брокеру открыты специальные брокерские счета, с указанием полного фирменного наименования кредитной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Банка нет специальных брокерских счетов в кредитных организациях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управлению ценными бумагами (далее -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депозитарную деятельность (далее - депозитарий), дополнительно раскрывает: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6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депонентами в депозитарий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7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депонентами в депозитарий (действуют с 24.03.2022)</w:t>
              </w:r>
            </w:hyperlink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депозитарием депонентам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8" w:history="1">
              <w:r w:rsidRPr="008A5F79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депозитарием депонентам (действуют с 24.03.2022)</w:t>
              </w:r>
            </w:hyperlink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    Небанковская кредитная организация акционерное общество "Национальный расчетный депозитарий" </w:t>
            </w:r>
          </w:p>
        </w:tc>
      </w:tr>
      <w:tr w:rsidR="008A5F79" w:rsidRPr="008A5F79" w:rsidTr="008A5F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ведению реестра владельцев ценных бумаг (далее - регистратор)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8A5F79" w:rsidRPr="008A5F79" w:rsidRDefault="008A5F79" w:rsidP="008A5F79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8A5F79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</w:tbl>
    <w:p w:rsidR="008A5F79" w:rsidRPr="008A5F79" w:rsidRDefault="008A5F79" w:rsidP="008A5F79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A5F7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8A5F79" w:rsidRPr="008A5F79" w:rsidRDefault="008A5F79" w:rsidP="008A5F79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A5F7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8A5F7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8A5F7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8A5F79" w:rsidRPr="008A5F79" w:rsidRDefault="008A5F79" w:rsidP="008A5F79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</w:p>
    <w:p w:rsidR="008A5F79" w:rsidRPr="008A5F79" w:rsidRDefault="008A5F79" w:rsidP="008A5F79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8A5F7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Данные от 06.04.2023 года</w:t>
      </w:r>
    </w:p>
    <w:p w:rsidR="00841099" w:rsidRDefault="00841099">
      <w:bookmarkStart w:id="0" w:name="_GoBack"/>
      <w:bookmarkEnd w:id="0"/>
    </w:p>
    <w:sectPr w:rsidR="0084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7E"/>
    <w:rsid w:val="00841099"/>
    <w:rsid w:val="008A5F79"/>
    <w:rsid w:val="00C0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D9E195-F50A-49AB-B94D-C05086CD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5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24.03.2022).doc" TargetMode="External"/><Relationship Id="rId13" Type="http://schemas.openxmlformats.org/officeDocument/2006/relationships/hyperlink" Target="https://transstroybank.ru/2023/Brocker/03/%D0%A3%D1%81%D0%BB%D0%BE%D0%B2%D0%B8%D1%8F%20%D0%BF%D1%80%D0%B5%D0%B4%D0%BE%D1%81%D1%82%D0%B0%D0%B2%D0%BB%D0%B5%D0%BD%D0%B8%D1%8F%20%D0%90%D0%9A%D0%91%20%D0%A2%D1%80%D0%B0%D0%BD%D1%81%D1%81%D1%82%D1%80%D0%BE%D0%B9%D0%B1%D0%B0%D0%BD%D0%BA%20(%D0%90%D0%9E)%20%D0%B1%D1%80%D0%BE%D0%BA%D0%B5%D1%80%D1%81%D0%BA%D0%B8%D1%85%20%D1%83%D1%81%D0%BB%D1%83%D0%B3%20(%D0%B2%D1%81%D1%82%D1%83%D0%BF%D0%B0%D1%8E%D1%82%20%D0%B2%20%D1%81%D0%B8%D0%BB%D1%83%20%D1%81%2006.04.2023%20).doc" TargetMode="External"/><Relationship Id="rId18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24.03.2022)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24.03.2022).doc" TargetMode="External"/><Relationship Id="rId12" Type="http://schemas.openxmlformats.org/officeDocument/2006/relationships/hyperlink" Target="https://transstroybank.ru/2023/Brocker/03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(%D0%98%D0%98%D0%A1)%20(%D0%B2%D1%81%D1%82%D1%83%D0%BF%D0%B0%D0%B5%D1%82%20%D0%B2%20%D1%81%D0%B8%D0%BB%D1%83%20%D1%81%2006.04.2023).doc" TargetMode="External"/><Relationship Id="rId17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24.03.2022)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ew.nfa.ru/guide/index.php" TargetMode="External"/><Relationship Id="rId11" Type="http://schemas.openxmlformats.org/officeDocument/2006/relationships/hyperlink" Target="https://transstroybank.ru/2023/Brocker/03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E%D0%9B%20(%D0%B2%D1%81%D1%82%D1%83%D0%BF%D0%B0%D0%B5%D1%82%20%D0%B2%20%D1%81%D0%B8%D0%BB%D1%83%20%D1%81%2006.04.2023).doc" TargetMode="External"/><Relationship Id="rId5" Type="http://schemas.openxmlformats.org/officeDocument/2006/relationships/hyperlink" Target="https://transstroybank.ru/zagruzka/licenzia1.jpg" TargetMode="External"/><Relationship Id="rId15" Type="http://schemas.openxmlformats.org/officeDocument/2006/relationships/hyperlink" Target="https://transstroybank.ru/2021/november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1).docx" TargetMode="External"/><Relationship Id="rId10" Type="http://schemas.openxmlformats.org/officeDocument/2006/relationships/hyperlink" Target="https://transstroybank.ru/2023/Brocker/0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6.04.2023).doc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tsbank@transstroibank.ru" TargetMode="External"/><Relationship Id="rId9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14" Type="http://schemas.openxmlformats.org/officeDocument/2006/relationships/hyperlink" Target="https://transstroybank.ru/2023/Brocker/03/%D0%A3%D1%81%D0%BB%D0%BE%D0%B2%D0%B8%D1%8F%20%D0%BF%D1%80%D0%B5%D0%B4%D0%BE%D1%81%D1%82%D0%B0%D0%B2%D0%BB%D0%B5%D0%BD%D0%B8%D1%8F%20%D0%90%D0%9A%D0%91%20%D0%A2%D1%80%D0%B0%D0%BD%D1%81%D1%81%D1%82%D1%80%D0%BE%D0%B9%D0%B1%D0%B0%D0%BD%D0%BA%20(%D0%90%D0%9E)%20(%D0%98%D0%98%D0%A1)%20(%D0%B2%D1%81%D1%82%D1%83%D0%BF%D0%B0%D1%8E%D1%82%20%D0%B2%20%D1%81%D0%B8%D0%BB%D1%83%20%D1%81%2006.04.2023%20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Мельниченко</dc:creator>
  <cp:keywords/>
  <dc:description/>
  <cp:lastModifiedBy>Маргарита Мельниченко</cp:lastModifiedBy>
  <cp:revision>2</cp:revision>
  <dcterms:created xsi:type="dcterms:W3CDTF">2023-08-16T11:57:00Z</dcterms:created>
  <dcterms:modified xsi:type="dcterms:W3CDTF">2023-08-16T11:57:00Z</dcterms:modified>
</cp:coreProperties>
</file>