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E65" w:rsidRPr="00D80E65" w:rsidRDefault="00D80E65" w:rsidP="00D80E65">
      <w:pP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D80E65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Раскрытие информации АКБ «Трансстройбанк» (АО) как профессионального участника рынка ценных бумаг.</w:t>
      </w:r>
    </w:p>
    <w:p w:rsidR="00D80E65" w:rsidRPr="00D80E65" w:rsidRDefault="00D80E65" w:rsidP="00D80E65">
      <w:pP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D80E65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 </w:t>
      </w:r>
    </w:p>
    <w:p w:rsidR="00D80E65" w:rsidRPr="00D80E65" w:rsidRDefault="00D80E65" w:rsidP="00D80E65">
      <w:pP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D80E65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В разделе публикуется информация о АКБ «Трансстройбанк» как профессиональном участнике рынка ценных бумаг в соответствии с Указанием ЦБ РФ № 3921-У от 28 декабря 2015 года «О составе, объеме, порядке и сроках раскрытия информации профессиональными участниками рынка ценных бумаг».</w:t>
      </w:r>
    </w:p>
    <w:p w:rsidR="00D80E65" w:rsidRPr="00D80E65" w:rsidRDefault="00D80E65" w:rsidP="00D80E65">
      <w:pP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D80E65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B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4"/>
        <w:gridCol w:w="3806"/>
        <w:gridCol w:w="4759"/>
      </w:tblGrid>
      <w:tr w:rsidR="00D80E65" w:rsidRPr="00D80E65" w:rsidTr="00D80E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Информация, подлежащая обязательному раскрытию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</w:t>
            </w:r>
          </w:p>
        </w:tc>
      </w:tr>
      <w:tr w:rsidR="00D80E65" w:rsidRPr="00D80E65" w:rsidTr="00D80E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Полное и сокращенное фирменное наименование профессионального участника рынка ценных бумаг, в том числе на иностранном языке (при наличии двух последних)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 xml:space="preserve">Акционерный коммерческий банк Трансстройбанк (Акционерное </w:t>
            </w:r>
            <w:proofErr w:type="gramStart"/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общество)/</w:t>
            </w:r>
            <w:proofErr w:type="gramEnd"/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 xml:space="preserve"> АКБ «Трансстройбанк» (АО)</w:t>
            </w:r>
          </w:p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val="en-US"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val="en-US" w:eastAsia="ru-RU"/>
              </w:rPr>
              <w:t>Joint Stock Commercial Bank «Transstroibank» (Joint Stock Company)/</w:t>
            </w:r>
          </w:p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«Transstroibank»</w:t>
            </w:r>
          </w:p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</w:t>
            </w:r>
          </w:p>
        </w:tc>
      </w:tr>
      <w:tr w:rsidR="00D80E65" w:rsidRPr="00D80E65" w:rsidTr="00D80E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Идентификационный номер налогоплательщика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7730059592</w:t>
            </w:r>
          </w:p>
        </w:tc>
      </w:tr>
      <w:tr w:rsidR="00D80E65" w:rsidRPr="00D80E65" w:rsidTr="00D80E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Адрес профессионального участника рынка ценных бумаг, указанный в ЕГРЮЛ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115093, г. Москва, ул. Дубининская, д.94</w:t>
            </w:r>
          </w:p>
        </w:tc>
      </w:tr>
      <w:tr w:rsidR="00D80E65" w:rsidRPr="00D80E65" w:rsidTr="00D80E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Номер телефона, факса (при наличии последнего) профессионального участника рынка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+7 (495) 786-37-73</w:t>
            </w:r>
          </w:p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+7 (495) 786-26-08 (факс)</w:t>
            </w:r>
          </w:p>
        </w:tc>
      </w:tr>
      <w:tr w:rsidR="00D80E65" w:rsidRPr="00D80E65" w:rsidTr="00D80E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Адрес электронной почты профессионального участника рынка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4" w:history="1">
              <w:r w:rsidRPr="00D80E65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tsbank@transstroibank.ru</w:t>
              </w:r>
            </w:hyperlink>
          </w:p>
        </w:tc>
      </w:tr>
      <w:tr w:rsidR="00D80E65" w:rsidRPr="00D80E65" w:rsidTr="00D80E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Фамилия, имя, отчество (при наличии последнего) лица, осуществляющего функции единоличного исполнительного органа профессионального участника рынка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Согласно пункту 3 Указания Банка России от 28.12.2015 г № 3921-</w:t>
            </w:r>
            <w:proofErr w:type="gramStart"/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У информация</w:t>
            </w:r>
            <w:proofErr w:type="gramEnd"/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 xml:space="preserve"> раскрывается в составе, объемах, порядке и сроках, установленными ФЗ «О банках и банковской деятельности».</w:t>
            </w:r>
          </w:p>
        </w:tc>
      </w:tr>
      <w:tr w:rsidR="00D80E65" w:rsidRPr="00D80E65" w:rsidTr="00D80E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 xml:space="preserve">Фамилия, имя, отчество (при наличии последнего) лица, </w:t>
            </w: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lastRenderedPageBreak/>
              <w:t>временно исполняющего функции единоличного исполнительного органа профессионального участника рынка ценных бумаг (далее - ВРИО). Информация подлежит раскрытию, в случае если ВРИО избран (назначен) на должность на срок, превышающий два 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lastRenderedPageBreak/>
              <w:t>отсутствует</w:t>
            </w:r>
          </w:p>
        </w:tc>
      </w:tr>
      <w:tr w:rsidR="00D80E65" w:rsidRPr="00D80E65" w:rsidTr="00D80E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Электронные копии всех лицензий на осуществление профессиональной деятельности на рынке ценных бумаг, созданные посредством сканирования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5" w:history="1">
              <w:r w:rsidRPr="00D80E65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ссылка</w:t>
              </w:r>
            </w:hyperlink>
          </w:p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</w:p>
        </w:tc>
      </w:tr>
      <w:tr w:rsidR="00D80E65" w:rsidRPr="00D80E65" w:rsidTr="00D80E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Информация о приостановлении действия лицензий, которыми обладает профессиональный участник рынка ценных бумаг, с указанием даты и причины приостановления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D80E65" w:rsidRPr="00D80E65" w:rsidTr="00D80E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Информация о возобновлении действия лицензий, которыми обладает профессиональный участник рынка ценных бумаг, с указанием даты возобновления действия лицензий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D80E65" w:rsidRPr="00D80E65" w:rsidTr="00D80E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Информация о принятии профессиональным участником рынка ценных бумаг решения о направлении в Банк России заявления об аннулировании лицензии на осуществление профессиональной деятельности на рынке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D80E65" w:rsidRPr="00D80E65" w:rsidTr="00D80E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Информация об аннулировании лицензии в связи с нарушением профессиональным участником рынка ценных бумаг законодательства Российской Федерации или в связи с принятием Банком России решения об аннулировании лицензии на основании заявления профессионального участника рынка ценных бумаг. Информация раскрывается, в случае если у профессионального участника рынка ценных бумаг имеются иные действующие лицензии на осуществление профессиональной деятельности на рынке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D80E65" w:rsidRPr="00D80E65" w:rsidTr="00D80E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 xml:space="preserve">Информация о членстве в саморегулируемых организациях в сфере финансового рынка, объединяющих брокеров, дилеров, </w:t>
            </w:r>
            <w:proofErr w:type="spellStart"/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форекс</w:t>
            </w:r>
            <w:proofErr w:type="spellEnd"/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-дилеров, управляющих, депозитариев, регистраторов (далее - СРО), в случае исключения из СРО профессиональный участник рынка ценных бумаг раскрывает информацию об этом с указанием даты и причины исключения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Член Саморегулируемой организации Национальная ассоциация участников фондового рынка (НАУФОР), с 30 августа 2023 года.</w:t>
            </w:r>
          </w:p>
        </w:tc>
      </w:tr>
      <w:tr w:rsidR="00D80E65" w:rsidRPr="00D80E65" w:rsidTr="00D80E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Информация о стандартах СРО, которыми руководствуется профессиональный участник рынка ценных бумаг при осуществлении своей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</w:p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6" w:history="1">
              <w:r w:rsidRPr="00D80E65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https://naufor.ru/tree.asp?n=16042</w:t>
              </w:r>
            </w:hyperlink>
          </w:p>
        </w:tc>
      </w:tr>
      <w:tr w:rsidR="00D80E65" w:rsidRPr="00D80E65" w:rsidTr="00D80E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Годовая бухгалтерская (финансовая) отчетность, представленная в налоговый орган, и аудиторское заключение по ней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Согласно пункту 3 Указания Банка России от 28.12.2015 г № 3921-</w:t>
            </w:r>
            <w:proofErr w:type="gramStart"/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У информация</w:t>
            </w:r>
            <w:proofErr w:type="gramEnd"/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 xml:space="preserve"> раскрывается в составе, объемах, порядке и сроках, установленными ФЗ «О банках и банковской деятельности».</w:t>
            </w:r>
          </w:p>
        </w:tc>
      </w:tr>
      <w:tr w:rsidR="00D80E65" w:rsidRPr="00D80E65" w:rsidTr="00D80E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Промежуточная бухгалтерская (финансовая) отчетность (в случае ее составления)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Согласно пункту 3 Указания Банка России от 28.12.2015 г № 3921-</w:t>
            </w:r>
            <w:proofErr w:type="gramStart"/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У информация</w:t>
            </w:r>
            <w:proofErr w:type="gramEnd"/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 xml:space="preserve"> раскрывается в составе, объемах, порядке и сроках, установленными ФЗ «О банках и банковской деятельности».</w:t>
            </w:r>
          </w:p>
        </w:tc>
      </w:tr>
      <w:tr w:rsidR="00D80E65" w:rsidRPr="00D80E65" w:rsidTr="00D80E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Годовая консолидированная финансовая отчетность, составленная в соответствии с Международными стандартами финансовой отчетности (в случае ее составления), и аудиторское заключение по ней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Согласно пункту 3 Указания Банка России от 28.12.2015 г № 3921-</w:t>
            </w:r>
            <w:proofErr w:type="gramStart"/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У информация</w:t>
            </w:r>
            <w:proofErr w:type="gramEnd"/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 xml:space="preserve"> раскрывается в составе, объемах, порядке и сроках, установленными ФЗ «О банках и банковской деятельности».</w:t>
            </w:r>
          </w:p>
        </w:tc>
      </w:tr>
      <w:tr w:rsidR="00D80E65" w:rsidRPr="00D80E65" w:rsidTr="00D80E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Годовая финансовая отчетность, составленная в соответствии с Международными стандартами финансовой отчетности (в случае ее составления), представляемая на индивидуальной основе, и аудиторское заключение по ней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Согласно пункту 3 Указания Банка России от 28.12.2015 г № 3921-</w:t>
            </w:r>
            <w:proofErr w:type="gramStart"/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У информация</w:t>
            </w:r>
            <w:proofErr w:type="gramEnd"/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 xml:space="preserve"> раскрывается в составе, объемах, порядке и сроках, установленными ФЗ «О банках и банковской деятельности».</w:t>
            </w:r>
          </w:p>
        </w:tc>
      </w:tr>
      <w:tr w:rsidR="00D80E65" w:rsidRPr="00D80E65" w:rsidTr="00D80E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Промежуточная консолидированная финансовая отчетность, составленная в соответствии с Международными стандартами финансовой отчетности (в случае ее составления), и аудиторское заключение по ней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Согласно пункту 3 Указания Банка России от 28.12.2015 г № 3921-</w:t>
            </w:r>
            <w:proofErr w:type="gramStart"/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У информация</w:t>
            </w:r>
            <w:proofErr w:type="gramEnd"/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 xml:space="preserve"> раскрывается в составе, объемах, порядке и сроках, установленными ФЗ «О банках и банковской деятельности».</w:t>
            </w:r>
          </w:p>
        </w:tc>
      </w:tr>
      <w:tr w:rsidR="00D80E65" w:rsidRPr="00D80E65" w:rsidTr="00D80E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Промежуточная финансовая отчетность, составленная в соответствии с Международными стандартами финансовой отчетности (в случае ее составления), представляемая на индивидуальной основе, и аудиторское заключение по ней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Согласно пункту 3 Указания Банка России от 28.12.2015 г № 3921-</w:t>
            </w:r>
            <w:proofErr w:type="gramStart"/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У информация</w:t>
            </w:r>
            <w:proofErr w:type="gramEnd"/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 xml:space="preserve"> раскрывается в составе, объемах, порядке и сроках, установленными ФЗ «О банках и банковской деятельности».</w:t>
            </w:r>
          </w:p>
        </w:tc>
      </w:tr>
      <w:tr w:rsidR="00D80E65" w:rsidRPr="00D80E65" w:rsidTr="00D80E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Расчет собственных средств, осуществленный в соответствии с требованиями Банка России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Согласно пункту 3 Указания Банка России от 28.12.2015 г № 3921-</w:t>
            </w:r>
            <w:proofErr w:type="gramStart"/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У информация</w:t>
            </w:r>
            <w:proofErr w:type="gramEnd"/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 xml:space="preserve"> раскрывается в составе, объемах, порядке и сроках, установленными ФЗ «О банках и банковской деятельности».</w:t>
            </w:r>
          </w:p>
        </w:tc>
      </w:tr>
      <w:tr w:rsidR="00D80E65" w:rsidRPr="00D80E65" w:rsidTr="00D80E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Перечень филиалов, представительств и иных обособленных подразделений, осуществляющих профессиональную деятельность на рынке ценных бумаг (при наличии), с указанием полного (при наличии - сокращенного) наименования, адреса, номера телефона, факса (при наличии последнего)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Профессиональная деятельность на рынке ценных бумаг осуществляется в головном офисе по адресу:</w:t>
            </w:r>
          </w:p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115093, г. Москва, ул. Дубининская, д.94</w:t>
            </w:r>
          </w:p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</w:t>
            </w:r>
          </w:p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</w:t>
            </w:r>
          </w:p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</w:t>
            </w:r>
          </w:p>
        </w:tc>
      </w:tr>
      <w:tr w:rsidR="00D80E65" w:rsidRPr="00D80E65" w:rsidTr="00D80E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Образец договора (образцы договоров), предлагаемый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7" w:history="1">
              <w:r w:rsidRPr="00D80E65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Заявление на заключение депозитарного договора для физических лиц (действует с 24.03.2022)</w:t>
              </w:r>
            </w:hyperlink>
          </w:p>
          <w:p w:rsidR="00D80E65" w:rsidRPr="00D80E65" w:rsidRDefault="00D80E65" w:rsidP="00D80E65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8" w:history="1">
              <w:r w:rsidRPr="00D80E65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Заявление на заключение депозитарного договора для юридических лиц (действует с 24.03.2022)</w:t>
              </w:r>
            </w:hyperlink>
          </w:p>
          <w:p w:rsidR="00D80E65" w:rsidRPr="00D80E65" w:rsidRDefault="00D80E65" w:rsidP="00D80E65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9" w:history="1">
              <w:r w:rsidRPr="00D80E65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Условия осуществления депозитарной деятельности (действуют с 24.03.2022)</w:t>
              </w:r>
            </w:hyperlink>
          </w:p>
          <w:p w:rsidR="00D80E65" w:rsidRPr="00D80E65" w:rsidRDefault="00D80E65" w:rsidP="00D80E65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10" w:history="1">
              <w:r w:rsidRPr="00D80E65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Заявление об акцепте условий предоставления брокерских услуг для физических лиц (действует с 06.10.2023)</w:t>
              </w:r>
            </w:hyperlink>
          </w:p>
          <w:p w:rsidR="00D80E65" w:rsidRPr="00D80E65" w:rsidRDefault="00D80E65" w:rsidP="00D80E65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11" w:history="1">
              <w:r w:rsidRPr="00D80E65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Заявление об акцепте условий предоставления брокерских услуг для юридических лиц (действует с 06.10.2023)</w:t>
              </w:r>
            </w:hyperlink>
          </w:p>
          <w:p w:rsidR="00D80E65" w:rsidRPr="00D80E65" w:rsidRDefault="00D80E65" w:rsidP="00D80E65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12" w:history="1">
              <w:r w:rsidRPr="00D80E65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Заявление об акцепте условий предоставления брокерских услуг с открытием и ведением ИИС (действует с 06.10.2023)</w:t>
              </w:r>
            </w:hyperlink>
          </w:p>
          <w:p w:rsidR="00D80E65" w:rsidRPr="00D80E65" w:rsidRDefault="00D80E65" w:rsidP="00D80E65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13" w:history="1">
              <w:r w:rsidRPr="00D80E65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Условия предоставления брокерских услуг (действуют с 06.10.2023)</w:t>
              </w:r>
            </w:hyperlink>
          </w:p>
          <w:p w:rsidR="00D80E65" w:rsidRPr="00D80E65" w:rsidRDefault="00D80E65" w:rsidP="00D80E65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14" w:history="1">
              <w:r w:rsidRPr="00D80E65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Условия предоставления брокерских услуг с открытием и ведением ИИС (действуют с 06.10.2023)</w:t>
              </w:r>
            </w:hyperlink>
          </w:p>
        </w:tc>
      </w:tr>
      <w:tr w:rsidR="00D80E65" w:rsidRPr="00D80E65" w:rsidTr="00D80E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Информация о технических сбоях в автоматизированных системах профессионального участника рынка ценных бумаг, которые повлекли прекращение (ограничение) работоспособности таких систем, что привело к отсутствию возможности осуществления деятельности профессионального участника рынка ценных бумаг в отношении всех клиентов профессионального участника рынка ценных бумаг, с указанием даты, времени и причин прекращения работоспособности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Технические сбои отсутствуют</w:t>
            </w:r>
          </w:p>
        </w:tc>
      </w:tr>
      <w:tr w:rsidR="00D80E65" w:rsidRPr="00D80E65" w:rsidTr="00D80E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Информация о возобновлении работоспособности автоматизированных систем профессионального участника рынка ценных бумаг после сбоев, которые повлекли прекращение (ограничение) работоспособности таких систем, что привело к отсутствию возможности осуществления деятельности профессионального участника рынка ценных бумаг в отношении всех клиентов профессионального участника рынка ценных бумаг на протяжении одного часа подряд, с указанием даты, времени и причин прекращения, а для профессиональных участников рынка ценных бумаг, оказывающих услуги по хранению сертификатов ценных бумаг и (или) учету и переходу прав на ценные бумаги или осуществляющих профессиональную деятельность по ведению реестра владельцев ценных бумаг, - одного календарного дня с указанием даты, времени и причин прекращения осуществления деятельности профессионального участника рынка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Технические сбои отсутствуют</w:t>
            </w:r>
          </w:p>
        </w:tc>
      </w:tr>
      <w:tr w:rsidR="00D80E65" w:rsidRPr="00D80E65" w:rsidTr="00D80E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Информация о существенных судебных спорах (с указанием наименования суда, номера дела, даты решения (определения), размера искового требования) профессионального участника рынка ценных бумаг, его дочерних и зависимых обществ, решения по которым могут существенным образом повлиять на финансовое положение или хозяйственную деятельность профессионального участника рынка ценных бумаг (в целях настоящего Указания, если исковые требования выражены в денежном эквиваленте, судебный спор является существенным, когда исковые требования превышают 10 процентов от валюты баланса профессионального участника рынка ценных бумаг)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Судебные споры отсутствуют</w:t>
            </w:r>
          </w:p>
        </w:tc>
      </w:tr>
      <w:tr w:rsidR="00D80E65" w:rsidRPr="00D80E65" w:rsidTr="00D80E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Профессиональный участник рынка ценных бумаг, осуществляющий брокерскую деятельность (далее - брокер), дополнительно раскрывает:</w:t>
            </w:r>
          </w:p>
        </w:tc>
      </w:tr>
      <w:tr w:rsidR="00D80E65" w:rsidRPr="00D80E65" w:rsidTr="00D80E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27.1.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Указание на то, что брокер является клиентским брокером в соответствии с Указанием Банка России от 25 июля 2014 года N 3349-У "О единых требованиях к правилам осуществления брокерской деятельности при совершении операций с имуществом клиента брокера", зарегистрированным Министерством юстиции Российской Федерации 25 августа 2014 года N 33865 ("Вестник Банка России" от 10 сентября 2014 года N 81). Информация раскрывается только клиентским брокером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Не является</w:t>
            </w:r>
          </w:p>
        </w:tc>
      </w:tr>
      <w:tr w:rsidR="00D80E65" w:rsidRPr="00D80E65" w:rsidTr="00D80E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27.2.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Перечень участников торгов (участников клиринга), с которыми у клиентского брокера заключены договоры о предоставлении услуг участниками торгов (участниками клиринга)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D80E65" w:rsidRPr="00D80E65" w:rsidTr="00D80E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27.3.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Перечень клиринговых организаций, с которыми брокер заключил договоры об оказании ему клиринговых услуг (при наличии), с указанием их полного фирменного наименования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Небанковская кредитная организация-центральный контрагент «Национальный Клиринговый Центр» (Акционерное общество)</w:t>
            </w:r>
          </w:p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Небанковская кредитная организация Акционерное общество "Национальный расчетный депозитарий" </w:t>
            </w:r>
          </w:p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</w:t>
            </w:r>
          </w:p>
        </w:tc>
      </w:tr>
      <w:tr w:rsidR="00D80E65" w:rsidRPr="00D80E65" w:rsidTr="00D80E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27.4.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Перечень организаторов торговли, в том числе иностранных, где брокер является участником торгов, с указанием полного фирменного наименования организатора торговли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Публичное Акционерное Общество «Московская Биржа ММВБ-РТС».</w:t>
            </w:r>
          </w:p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</w:t>
            </w:r>
          </w:p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</w:t>
            </w:r>
          </w:p>
        </w:tc>
      </w:tr>
      <w:tr w:rsidR="00D80E65" w:rsidRPr="00D80E65" w:rsidTr="00D80E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27.5.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Информация о приостановлении допуска брокера к организованным торгам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Не приостанавливался</w:t>
            </w:r>
          </w:p>
        </w:tc>
      </w:tr>
      <w:tr w:rsidR="00D80E65" w:rsidRPr="00D80E65" w:rsidTr="00D80E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27.6.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Информация о приостановлении допуска брокера к клиринговому обслуживанию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Не приостанавливался</w:t>
            </w:r>
          </w:p>
        </w:tc>
      </w:tr>
      <w:tr w:rsidR="00D80E65" w:rsidRPr="00D80E65" w:rsidTr="00D80E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27.7.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Документ, содержащий порядок принятия решения о признании лица квалифицированным инвестором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15" w:history="1">
              <w:r w:rsidRPr="00D80E65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Регламент признания лиц квалифицированными инвесторами (действует с 07.11.2021)</w:t>
              </w:r>
            </w:hyperlink>
          </w:p>
        </w:tc>
      </w:tr>
      <w:tr w:rsidR="00D80E65" w:rsidRPr="00D80E65" w:rsidTr="00D80E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27.8.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Перечень кредитных организаций, в которых брокеру открыты специальные брокерские счета, с указанием полного фирменного наименования кредитной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У Банка нет специальных брокерских счетов в кредитных организациях</w:t>
            </w:r>
          </w:p>
        </w:tc>
      </w:tr>
      <w:tr w:rsidR="00D80E65" w:rsidRPr="00D80E65" w:rsidTr="00D80E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Профессиональный участник рынка ценных бумаг, осуществляющий деятельность по управлению ценными бумагами (далее - управляющий)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Деятельность по управлению ценными бумагами не осуществляется</w:t>
            </w:r>
          </w:p>
        </w:tc>
      </w:tr>
      <w:tr w:rsidR="00D80E65" w:rsidRPr="00D80E65" w:rsidTr="00D80E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Профессиональный участник рынка ценных бумаг, осуществляющий депозитарную деятельность (далее - депозитарий), дополнительно раскрывает:</w:t>
            </w:r>
          </w:p>
        </w:tc>
      </w:tr>
      <w:tr w:rsidR="00D80E65" w:rsidRPr="00D80E65" w:rsidTr="00D80E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after="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    29.1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after="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 Условия осуществления депозитарной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after="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16" w:history="1">
              <w:r w:rsidRPr="00D80E65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Условия осуществления депозитарной деятельности (действуют с 24.03.2022)</w:t>
              </w:r>
            </w:hyperlink>
          </w:p>
        </w:tc>
      </w:tr>
      <w:tr w:rsidR="00D80E65" w:rsidRPr="00D80E65" w:rsidTr="00D80E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after="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    29.2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after="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Формы документов, представляемые депонентами в депозитарий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after="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17" w:history="1">
              <w:r w:rsidRPr="00D80E65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Формы документов, предоставляемые депонентами в депозитарий (действуют с 24.03.2022)</w:t>
              </w:r>
            </w:hyperlink>
          </w:p>
        </w:tc>
      </w:tr>
      <w:tr w:rsidR="00D80E65" w:rsidRPr="00D80E65" w:rsidTr="00D80E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after="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    29.3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after="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Формы документов, представляемые депозитарием депонентам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after="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18" w:history="1">
              <w:r w:rsidRPr="00D80E65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Формы документов, предоставляемые депозитарием депонентам (действуют с 24.03.2022)</w:t>
              </w:r>
            </w:hyperlink>
          </w:p>
        </w:tc>
      </w:tr>
      <w:tr w:rsidR="00D80E65" w:rsidRPr="00D80E65" w:rsidTr="00D80E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after="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29.4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after="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Перечень регистраторов и депозитариев, в том числе иностранных, в которых депозитарию открыты лицевые счета (счета депо) номинального держателя, с указанием полного фирменного наименования регистратора или депозитария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after="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        Небанковская кредитная организация акционерное общество "Национальный расчетный депозитарий" </w:t>
            </w:r>
          </w:p>
        </w:tc>
      </w:tr>
      <w:tr w:rsidR="00D80E65" w:rsidRPr="00D80E65" w:rsidTr="00D80E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Профессиональный участник рынка ценных бумаг, осуществляющий деятельность по ведению реестра владельцев ценных бумаг (далее - регистратор)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Деятельность по ведению реестра не осуществляется</w:t>
            </w:r>
          </w:p>
        </w:tc>
      </w:tr>
    </w:tbl>
    <w:p w:rsidR="00D80E65" w:rsidRPr="00D80E65" w:rsidRDefault="00D80E65" w:rsidP="00D80E65">
      <w:pP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D80E65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 </w:t>
      </w:r>
    </w:p>
    <w:p w:rsidR="00D80E65" w:rsidRPr="00D80E65" w:rsidRDefault="00D80E65" w:rsidP="00D80E65">
      <w:pP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D80E65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 xml:space="preserve">Если явно </w:t>
      </w:r>
      <w:proofErr w:type="gramStart"/>
      <w:r w:rsidRPr="00D80E65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не указано</w:t>
      </w:r>
      <w:proofErr w:type="gramEnd"/>
      <w:r w:rsidRPr="00D80E65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 xml:space="preserve"> иное, период раскрываемости указанной информации отсчитывается от даты ее раскрытия до даты, предшествующей дате внесения следующих изменений.</w:t>
      </w:r>
    </w:p>
    <w:p w:rsidR="00D80E65" w:rsidRPr="00D80E65" w:rsidRDefault="00D80E65" w:rsidP="00D80E65">
      <w:pP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</w:p>
    <w:p w:rsidR="00D80E65" w:rsidRPr="00D80E65" w:rsidRDefault="00D80E65" w:rsidP="00D80E65">
      <w:pP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D80E65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Данные от 06.10.2023 года</w:t>
      </w:r>
    </w:p>
    <w:p w:rsidR="00A63213" w:rsidRDefault="00A63213">
      <w:bookmarkStart w:id="0" w:name="_GoBack"/>
      <w:bookmarkEnd w:id="0"/>
    </w:p>
    <w:sectPr w:rsidR="00A63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F Dewi"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F2A"/>
    <w:rsid w:val="00A63213"/>
    <w:rsid w:val="00D80E65"/>
    <w:rsid w:val="00FE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6DE486E-91F8-4DBD-9605-A00F6FD9F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0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80E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stroybank.ru/2022/3/%D0%97%D0%B0%D1%8F%D0%B2%D0%BB%D0%B5%D0%BD%D0%B8%D0%B5%20%D0%BD%D0%B0%20%D0%B7%D0%B0%D0%BA%D0%BB%D1%8E%D1%87%D0%B5%D0%BD%D0%B8%D0%B5%20%D0%B4%D0%B5%D0%BF%D0%BE%D0%B7%D0%B8%D1%82%D0%B0%D1%80%D0%BD%D0%BE%D0%B3%D0%BE%20%D0%B4%D0%BE%D0%B3%D0%BE%D0%B2%D0%BE%D1%80%D0%B0%20%D0%B4%D0%BB%D1%8F%20%D1%8E%D1%80%D0%B8%D0%B4%D0%B8%D1%87%D0%B5%D1%81%D0%BA%D0%B8%D1%85%20%D0%BB%D0%B8%D1%86%20(%D0%B4%D0%B5%D0%B9%D1%81%D1%82%D0%B2%D1%83%D0%B5%D1%82%20%D1%81%2024.03.2022).doc" TargetMode="External"/><Relationship Id="rId13" Type="http://schemas.openxmlformats.org/officeDocument/2006/relationships/hyperlink" Target="https://transstroybank.ru/2023/Brocker/point23/%D0%A3%D1%81%D0%BB%D0%BE%D0%B2%D0%B8%D1%8F_%D0%BF%D1%80%D0%B5%D0%B4%D0%BE%D1%81%D1%82%D0%B0%D0%B2%D0%BB%D0%B5%D0%BD%D0%B8%D1%8F_%D0%90%D0%9A%D0%91_%C2%AB%D0%A2%D1%80%D0%B0%D0%BD%D1%81%D1%81%D1%82%D1%80%D0%BE%D0%B9%D0%B1%D0%B0%D0%BD%D0%BA%C2%BB_(%D0%90%D0%9E)_%D0%B1%D1%80%D0%BE%D0%BA%D0%B5%D1%80%D1%81%D0%BA%D0%B8%D1%85_%D1%83%D1%81%D0%BB%D1%83%D0%B3_10.23_(%D0%B2%D1%81%D1%82%D1%83%D0%BF%D0%B0%D1%8E%D1%82_%D0%B2_%D1%81%D0%B8%D0%BB%D1%83_%D1%81_06.10.2023).doc" TargetMode="External"/><Relationship Id="rId18" Type="http://schemas.openxmlformats.org/officeDocument/2006/relationships/hyperlink" Target="https://transstroybank.ru/2022/3/%D0%A4%D0%BE%D1%80%D0%BC%D1%8B%20%D0%B4%D0%BE%D0%BA%D1%83%D0%BC%D0%B5%D0%BD%D1%82%D0%BE%D0%B2,%20%D0%BF%D1%80%D0%B5%D0%B4%D0%BE%D1%81%D1%82%D0%B0%D0%B2%D0%BB%D1%8F%D0%B5%D0%BC%D1%8B%D0%B5%20%D0%B4%D0%B5%D0%BF%D0%BE%D0%B7%D0%B8%D1%82%D0%B0%D1%80%D0%B8%D0%B5%D0%BC%20%D0%B4%D0%B5%D0%BF%D0%BE%D0%BD%D0%B5%D0%BD%D1%82%D0%B0%D0%BC%20(%D0%B4%D0%B5%D0%B9%D1%81%D1%82%D0%B2%D1%83%D1%8E%D1%82%20%D1%81%2024.03.2022)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ransstroybank.ru/2022/3/%D0%97%D0%B0%D1%8F%D0%B2%D0%BB%D0%B5%D0%BD%D0%B8%D0%B5%20%D0%BD%D0%B0%20%D0%B7%D0%B0%D0%BA%D0%BB%D1%8E%D1%87%D0%B5%D0%BD%D0%B8%D0%B5%20%D0%B4%D0%B5%D0%BF%D0%BE%D0%B7%D0%B8%D1%82%D0%B0%D1%80%D0%BD%D0%BE%D0%B3%D0%BE%20%D0%B4%D0%BE%D0%B3%D0%BE%D0%B2%D0%BE%D1%80%D0%B0%20%D0%B4%D0%BB%D1%8F%20%D1%84%D0%B8%D0%B7%D0%B8%D1%87%D0%B5%D1%81%D0%BA%D0%B8%D1%85%20%D0%BB%D0%B8%D1%86%20(%D0%B4%D0%B5%D0%B9%D1%81%D1%82%D0%B2%D1%83%D0%B5%D1%82%20%D1%81%2024.03.2022).doc" TargetMode="External"/><Relationship Id="rId12" Type="http://schemas.openxmlformats.org/officeDocument/2006/relationships/hyperlink" Target="https://transstroybank.ru/2023/Brocker/point23/%D0%97%D0%B0%D1%8F%D0%B2%D0%BB%D0%B5%D0%BD%D0%B8%D0%B5_%D0%BE%D0%B1_%D0%B0%D0%BA%D1%86%D0%B5%D0%BF%D1%82%D0%B5_%D1%83%D1%81%D0%BB%D0%BE%D0%B2%D0%B8%D0%B9_%D0%BF%D1%80%D0%B5%D0%B4%D0%BE%D1%81%D1%82%D0%B0%D0%B2%D0%BB%D0%B5%D0%BD%D0%B8%D1%8F_%D0%B1%D1%80%D0%BE%D0%BA%D0%B5%D1%80%D1%81%D0%BA%D0%B8%D1%85_%D1%83%D1%81%D0%BB%D1%83%D0%B3_(%D0%98%D0%98%D0%A1)_(%D0%B2%D1%81%D1%82%D1%83%D0%BF%D0%B0%D0%B5%D1%82_%D0%B2_%D1%81%D0%B8%D0%BB%D1%83_%D1%81_06.10.2023).doc" TargetMode="External"/><Relationship Id="rId17" Type="http://schemas.openxmlformats.org/officeDocument/2006/relationships/hyperlink" Target="https://transstroybank.ru/2022/3/%D0%A4%D0%BE%D1%80%D0%BC%D1%8B%20%D0%B4%D0%BE%D0%BA%D1%83%D0%BC%D0%B5%D0%BD%D1%82%D0%BE%D0%B2,%20%D0%BF%D1%80%D0%B5%D0%B4%D0%BE%D1%81%D1%82%D0%B0%D0%B2%D0%BB%D1%8F%D0%B5%D0%BC%D1%8B%D0%B5%20%D0%B4%D0%B5%D0%BF%D0%BE%D0%BD%D0%B5%D0%BD%D1%82%D0%B0%D0%BC%D0%B8%20%D0%B2%20%D0%B4%D0%B5%D0%BF%D0%BE%D0%B7%D0%B8%D1%82%D0%B0%D1%80%D0%B8%D0%B9%20(%D0%B4%D0%B5%D0%B9%D1%81%D1%82%D0%B2%D1%83%D1%8E%D1%82%20%D1%81%2024.03.2022).do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ransstroybank.ru/2022/3/%D0%A3%D1%81%D0%BB%D0%BE%D0%B2%D0%B8%D1%8F%20%D0%BE%D1%81%D1%83%D1%89%D0%B5%D1%81%D1%82%D0%B2%D0%BB%D0%B5%D0%BD%D0%B8%D1%8F%20%D0%B4%D0%B5%D0%BF%D0%BE%D0%B7%D0%B8%D1%82%D0%B0%D1%80%D0%BD%D0%BE%D0%B9%20%D0%B4%D0%B5%D1%8F%D1%82%D0%B5%D0%BB%D1%8C%D0%BD%D0%BE%D1%81%D1%82%D0%B8%20(%D0%B4%D0%B5%D0%B9%D1%81%D1%82%D0%B2%D1%83%D1%8E%D1%82%20%D1%81%2024.03.2022).docx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naufor.ru/tree.asp?n=16042" TargetMode="External"/><Relationship Id="rId11" Type="http://schemas.openxmlformats.org/officeDocument/2006/relationships/hyperlink" Target="https://transstroybank.ru/2023/Brocker/point23/%D0%97%D0%B0%D1%8F%D0%B2%D0%BB%D0%B5%D0%BD%D0%B8%D0%B5_%D0%BE%D0%B1_%D0%B0%D0%BA%D1%86%D0%B5%D0%BF%D1%82%D0%B5_%D1%83%D1%81%D0%BB%D0%BE%D0%B2%D0%B8%D0%B9_%D0%BF%D1%80%D0%B5%D0%B4%D0%BE%D1%81%D1%82%D0%B0%D0%B2%D0%BB%D0%B5%D0%BD%D0%B8%D1%8F_%D0%B1%D1%80%D0%BE%D0%BA%D0%B5%D1%80%D1%81%D0%BA%D0%B8%D1%85_%D1%83%D1%81%D0%BB%D1%83%D0%B3_%D0%B4%D0%BB%D1%8F_%D0%AE%D0%9B_(%D0%B2%D1%81%D1%82%D1%83%D0%BF%D0%B0%D0%B5%D1%82_%D0%B2_%D1%81%D0%B8%D0%BB%D1%83_%D1%81_06.10.2023).doc" TargetMode="External"/><Relationship Id="rId5" Type="http://schemas.openxmlformats.org/officeDocument/2006/relationships/hyperlink" Target="https://transstroybank.ru/zagruzka/licenzia1.jpg" TargetMode="External"/><Relationship Id="rId15" Type="http://schemas.openxmlformats.org/officeDocument/2006/relationships/hyperlink" Target="https://transstroybank.ru/2021/november/%D0%A0%D0%B5%D0%B3%D0%BB%D0%B0%D0%BC%D0%B5%D0%BD%D1%82%20%D0%BF%D1%80%D0%B8%D0%B7%D0%BD%D0%B0%D0%BD%D0%B8%D1%8F%20%D0%BB%D0%B8%D1%86%20%D0%BA%D0%B2%D0%B0%D0%BB%D0%B8%D1%84%D0%B8%D1%86%D0%B8%D1%80%D0%BE%D0%B2%D0%B0%D0%BD%D0%BD%D1%8B%D0%BC%D0%B8%20%D0%B8%D0%BD%D0%B2%D0%B5%D1%81%D1%82%D0%BE%D1%80%D0%B0%D0%BC%D0%B8%20(%D0%B4%D0%B5%D0%B9%D1%81%D1%82%D0%B2%D1%83%D0%B5%D1%82%20%D1%81%2007.11.2021).docx" TargetMode="External"/><Relationship Id="rId10" Type="http://schemas.openxmlformats.org/officeDocument/2006/relationships/hyperlink" Target="https://transstroybank.ru/2023/Brocker/point23/%D0%97%D0%B0%D1%8F%D0%B2%D0%BB%D0%B5%D0%BD%D0%B8%D0%B5_%D0%BE%D0%B1_%D0%B0%D0%BA%D1%86%D0%B5%D0%BF%D1%82%D0%B5_%D1%83%D1%81%D0%BB%D0%BE%D0%B2%D0%B8%D0%B9_%D0%BF%D1%80%D0%B5%D0%B4%D0%BE%D1%81%D1%82%D0%B0%D0%B2%D0%BB%D0%B5%D0%BD%D0%B8%D1%8F_%D0%B1%D1%80%D0%BE%D0%BA%D0%B5%D1%80%D1%81%D0%BA%D0%B8%D1%85_%D1%83%D1%81%D0%BB%D1%83%D0%B3_%D0%B4%D0%BB%D1%8F_%D0%A4%D0%9B_(%D0%B2%D1%81%D1%82%D1%83%D0%BF%D0%B0%D0%B5%D1%82_%D0%B2_%D1%81%D0%B8%D0%BB%D1%83_%D1%81_06.10.2023).doc" TargetMode="External"/><Relationship Id="rId19" Type="http://schemas.openxmlformats.org/officeDocument/2006/relationships/fontTable" Target="fontTable.xml"/><Relationship Id="rId4" Type="http://schemas.openxmlformats.org/officeDocument/2006/relationships/hyperlink" Target="mailto:tsbank@transstroibank.ru" TargetMode="External"/><Relationship Id="rId9" Type="http://schemas.openxmlformats.org/officeDocument/2006/relationships/hyperlink" Target="https://transstroybank.ru/2022/3/%D0%A3%D1%81%D0%BB%D0%BE%D0%B2%D0%B8%D1%8F%20%D0%BE%D1%81%D1%83%D1%89%D0%B5%D1%81%D1%82%D0%B2%D0%BB%D0%B5%D0%BD%D0%B8%D1%8F%20%D0%B4%D0%B5%D0%BF%D0%BE%D0%B7%D0%B8%D1%82%D0%B0%D1%80%D0%BD%D0%BE%D0%B9%20%D0%B4%D0%B5%D1%8F%D1%82%D0%B5%D0%BB%D1%8C%D0%BD%D0%BE%D1%81%D1%82%D0%B8%20(%D0%B4%D0%B5%D0%B9%D1%81%D1%82%D0%B2%D1%83%D1%8E%D1%82%20%D1%81%2024.03.2022).docx" TargetMode="External"/><Relationship Id="rId14" Type="http://schemas.openxmlformats.org/officeDocument/2006/relationships/hyperlink" Target="https://transstroybank.ru/2023/Brocker/point23/%D0%A3%D1%81%D0%BB%D0%BE%D0%B2%D0%B8%D1%8F_%D0%BF%D1%80%D0%B5%D0%B4%D0%BE%D1%81%D1%82%D0%B0%D0%B2%D0%BB%D0%B5%D0%BD%D0%B8%D1%8F_%D0%90%D0%9A%D0%91_%C2%AB%D0%A2%D1%80%D0%B0%D0%BD%D1%81%D1%81%D1%82%D1%80%D0%BE%D0%B9%D0%B1%D0%B0%D0%BD%D0%BA%C2%BB_(%D0%90%D0%9E)_(%D0%98%D0%98%D0%A1)_10.23_(%D0%B2%D1%81%D1%82%D1%83%D0%BF%D0%B0%D1%8E%D1%82_%D0%B2_%D1%81%D0%B8%D0%BB%D1%83_%D1%81_06.10.2023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2812</Words>
  <Characters>16035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Мельниченко</dc:creator>
  <cp:keywords/>
  <dc:description/>
  <cp:lastModifiedBy>Маргарита Мельниченко</cp:lastModifiedBy>
  <cp:revision>2</cp:revision>
  <dcterms:created xsi:type="dcterms:W3CDTF">2023-10-26T07:06:00Z</dcterms:created>
  <dcterms:modified xsi:type="dcterms:W3CDTF">2023-10-26T07:06:00Z</dcterms:modified>
</cp:coreProperties>
</file>