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3A" w:rsidRDefault="00470D3A" w:rsidP="00470D3A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t>Раскры</w:t>
      </w:r>
      <w:bookmarkStart w:id="0" w:name="_GoBack"/>
      <w:bookmarkEnd w:id="0"/>
      <w:r>
        <w:rPr>
          <w:rFonts w:ascii="RF Dewi" w:hAnsi="RF Dewi"/>
          <w:color w:val="202020"/>
          <w:spacing w:val="2"/>
        </w:rPr>
        <w:t>тие информации АКБ «Трансстройбанк» (АО) как профессионального участника рынка ценных бумаг.</w:t>
      </w:r>
    </w:p>
    <w:p w:rsidR="00470D3A" w:rsidRDefault="00470D3A" w:rsidP="00470D3A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t> </w:t>
      </w:r>
    </w:p>
    <w:p w:rsidR="00470D3A" w:rsidRDefault="00470D3A" w:rsidP="00470D3A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t>В разделе публикуется информация о АКБ «Трансстройбанк» как профессиональном участнике рынка ценных бумаг в соответствии с Указанием ЦБ РФ № 3921-У от 28 декабря 2015 года «О составе, объеме, порядке и сроках раскрытия информации профессиональными участниками рынка ценных бумаг».</w:t>
      </w:r>
    </w:p>
    <w:p w:rsidR="00470D3A" w:rsidRDefault="00470D3A" w:rsidP="00470D3A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3844"/>
        <w:gridCol w:w="4783"/>
      </w:tblGrid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Информация, подлежащая обязательному раскрытию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Акционерный коммерческий банк Трансстройбанк (Акционерное 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общество)/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АКБ «Трансстройбанк» (АО)</w:t>
            </w:r>
          </w:p>
          <w:p w:rsidR="00470D3A" w:rsidRP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  <w:lang w:val="en-US"/>
              </w:rPr>
            </w:pPr>
            <w:r w:rsidRPr="00470D3A">
              <w:rPr>
                <w:rFonts w:ascii="RF Dewi" w:hAnsi="RF Dewi"/>
                <w:color w:val="202020"/>
                <w:spacing w:val="2"/>
                <w:lang w:val="en-US"/>
              </w:rPr>
              <w:t>Joint Stock Commercial Bank «Transstroibank» (Joint Stock Company)/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«Transstroibank»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Идентификационный номер налогоплательщика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7730059592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Адрес профессионального участника рынка ценных бумаг, указанный в ЕГРЮЛ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115093, г. Москва, ул. Дубининская, д.94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Номер телефона, факса (при наличии последнего)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+7 (495) 786-37-73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+7 (495) 786-26-08 (факс)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Адрес электронной почты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hyperlink r:id="rId4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tsbank@transstroibank.ru</w:t>
              </w:r>
            </w:hyperlink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Согласно пункту 3 Указания Банка России от 28.12.2015 г № 3921-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 информация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Фамилия, имя, отчество (при наличии последнего) лица, </w:t>
            </w:r>
            <w:r>
              <w:rPr>
                <w:rFonts w:ascii="RF Dewi" w:hAnsi="RF Dewi"/>
                <w:color w:val="202020"/>
                <w:spacing w:val="2"/>
              </w:rPr>
              <w:lastRenderedPageBreak/>
              <w:t>временно исполняющего функции единоличного исполнительного органа профессионального участника рынка ценных бумаг (далее - ВРИО). Информация подлежит раскрытию, в случае если ВРИО избран (назначен) на должность на срок, превышающий два месяца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lastRenderedPageBreak/>
              <w:t>отсутствует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Электронные копии всех лицензий на осуществление профессиональной деятельности на рынке ценных бумаг, созданные посредством сканирования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hyperlink r:id="rId5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ссылка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отсутствует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отсутствует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принятии профессиональным участником рынка ценных бумаг решения о направлении в Банк России заявления об аннулировании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отсутствует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отсутствует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>
              <w:rPr>
                <w:rFonts w:ascii="RF Dewi" w:hAnsi="RF Dewi"/>
                <w:color w:val="202020"/>
                <w:spacing w:val="2"/>
              </w:rPr>
              <w:t>форекс</w:t>
            </w:r>
            <w:proofErr w:type="spellEnd"/>
            <w:r>
              <w:rPr>
                <w:rFonts w:ascii="RF Dewi" w:hAnsi="RF Dewi"/>
                <w:color w:val="202020"/>
                <w:spacing w:val="2"/>
              </w:rPr>
              <w:t>-дилеров,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Член Саморегулируемой организации Национальная ассоциация участников фондового рынка (НАУФОР), с 30 августа 2023 года.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hyperlink r:id="rId6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https://naufor.ru/tree.asp?n=16042</w:t>
              </w:r>
            </w:hyperlink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Годовая бухгалтерская (финансовая) отчетность, представленная в налоговый орган, и аудиторское заключение по 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Согласно пункту 3 Указания Банка России от 28.12.2015 г № 3921-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 информация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Промежуточная бухгалтерская (финансовая) отчетность (в случае ее составления)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Согласно пункту 3 Указания Банка России от 28.12.2015 г № 3921-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 информация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Годовая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Согласно пункту 3 Указания Банка России от 28.12.2015 г № 3921-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 информация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Годовая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Согласно пункту 3 Указания Банка России от 28.12.2015 г № 3921-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 информация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Промежуточная консолидированная финансовая отчетность, составленная в соответствии с Международными стандартами финансовой отчетности (в случае ее составления),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Согласно пункту 3 Указания Банка России от 28.12.2015 г № 3921-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 информация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Промежуточная финансовая отчетность, составленная в соответствии с Международными стандартами финансовой отчетности (в случае ее составления), представляемая на индивидуальной основе, и аудиторское заключение по ней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Согласно пункту 3 Указания Банка России от 28.12.2015 г № 3921-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 информация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Расчет собственных средств, осуществленный в соответствии с требованиями Банка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Согласно пункту 3 Указания Банка России от 28.12.2015 г № 3921-</w:t>
            </w:r>
            <w:proofErr w:type="gramStart"/>
            <w:r>
              <w:rPr>
                <w:rFonts w:ascii="RF Dewi" w:hAnsi="RF Dewi"/>
                <w:color w:val="202020"/>
                <w:spacing w:val="2"/>
              </w:rPr>
              <w:t>У информация</w:t>
            </w:r>
            <w:proofErr w:type="gramEnd"/>
            <w:r>
              <w:rPr>
                <w:rFonts w:ascii="RF Dewi" w:hAnsi="RF Dewi"/>
                <w:color w:val="202020"/>
                <w:spacing w:val="2"/>
              </w:rPr>
              <w:t xml:space="preserve"> раскрывается в составе, объемах, порядке и сроках, установленными ФЗ «О банках и банковской деятельности».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наличии - сокращенного) наименования, адреса, номера телефона, факса (при наличии последнего)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Профессиональная деятельность на рынке ценных бумаг осуществляется в головном офисе по адресу: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115093, г. Москва, ул. Дубининская, д.94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Образец договора (образцы договоров), предлагаемый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7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об акцепте условий предоставления брокерских услуг для физических лиц (действует с 06.10.2023)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8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об акцепте условий предоставления брокерских услуг для юридических лиц (действует с 06.10.2023)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9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об акцепте условий предоставления брокерских услуг с открытием и ведением ИИС (действует с 06.10.2023)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0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Условия предоставления брокерских услуг (действуют с 06.10.2023)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1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Условия предоставления брокерских услуг с открытием и ведением ИИС (действуют с 06.10.2023)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2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на заключение депозитарного договора для физических лиц (действует с 03.11.2023)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3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на заключение депозитарного договора для юридических лиц (действует с 03.11.2023)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4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Условия осуществления депозитарной деятельности (действуют с 03.11.2023)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5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об акцепте условий предоставления брокерских услуг для физических лиц (вступает в силу с 05.03.2024)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6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об акцепте условий предоставления брокерских услуг для юридических лиц (вступает в силу с 05.03.2024)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7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Заявление об акцепте условий предоставления брокерских услуг с открытием и ведением ИИС (вступает в силу с 05.03.2024)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8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Условия предоставления брокерских услуг (вступают в силу с 05.03.2024)</w:t>
              </w:r>
            </w:hyperlink>
          </w:p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hyperlink r:id="rId19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Условия предоставления брокерских услуг с открытием и ведением ИИС (вступают в силу с 05.03.2024)</w:t>
              </w:r>
            </w:hyperlink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технических сбоях в автоматизированных системах профессионального участника рынка ценных бумаг,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бумаг, с указанием даты, времени и причин прекращения работоспособности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Технические сбои отсутствуют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возобновлении работоспособности автоматизированных систем профессионального участника рынка ценных бумаг после сбоев, которые повлекли прекращение (ограничение) работоспособности таких систем, что привело к отсутствию возможности осуществления деятельности профессионального участника рынка ценных бумаг в отношении всех клиентов профессионального участника рынка ценных бумаг на протяжении одного часа подряд, с указанием даты, времени и причин прекращения, а для профессиональных участников рынка ценных бумаг, оказывающих услуги по хранению сертификатов ценных бумаг и (или) учету и переходу прав на ценные бумаги или осуществляющих профессиональную деятельность по ведению реестра владельцев ценных бумаг, - одного календарного дня с указанием даты, времени и причин прекращения осуществления деятельности профессионального участника рынка ценных бумаг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Технические сбои отсутствуют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 (в целях настоящего Указания, если исковые требования выражены в денежном эквиваленте, судебный спор является существенным, когда исковые требования превышают 10 процентов от валюты баланса профессионального участника рынка ценных бумаг)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Судебные споры отсутствуют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Профессиональный участник рынка ценных бумаг, осуществляющий брокерскую деятельность (далее - брокер), дополнительно раскрывает: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Указание на то, что брокер является клиентским брокером в соответствии с Указанием Банка России от 25 июля 2014 года N 3349-У "О единых требованиях к правилам осуществления брокерской деятельности при совершении операций с имуществом клиента брокера", зарегистрированным Министерством юстиции Российской Федерации 25 августа 2014 года N 33865 ("Вестник Банка России" от 10 сентября 2014 года N 81). Информация раскрывается только клиентским брокером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Не является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Перечень участников торгов (участников клиринга), с которыми у клиентского брокера заключены договоры о предоставлении услуг участниками торгов (участниками клиринга)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отсутствует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Перечень клиринговых организаций, с которыми брокер заключил договоры об оказании ему клиринговых услуг (при наличии), с указанием их полного фирменного наименования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Небанковская кредитная организация-центральный контрагент «Национальный Клиринговый Центр» (Акционерное общество)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Небанковская кредитная организация Акционерное общество "Национальный расчетный депозитарий" 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Перечень организаторов торговли, в том числе иностранных, где брокер является участником торгов, с указанием полного фирменного наименования организатора торговли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Публичное Акционерное Общество «Московская Биржа ММВБ-РТС».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приостановлении допуска брокера к организованным торгам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Не приостанавливался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Информация о приостановлении допуска брокера к клиринговому обслуживанию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Не приостанавливался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Документ, содержащий порядок принятия решения о признании лица квалифицированным инвестором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hyperlink r:id="rId20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Регламент признания лиц квалифицированными инвесторами (действует с 07.11.2021)</w:t>
              </w:r>
            </w:hyperlink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27.8.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Перечень кредитных организаций, в которых брокеру открыты специальные брокерские счета, с указанием полного фирменного наименования кредитной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У Банка нет специальных брокерских счетов в кредитных организациях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Профессиональный участник рынка ценных бумаг, осуществляющий деятельность по управлению ценными бумагами (далее - управляющий)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управлению ценными бумагами не осуществляется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29.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Профессиональный участник рынка ценных бумаг, осуществляющий депозитарную деятельность (далее - депозитарий), дополнительно раскрывает: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    29.1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 Условия осуществления депозитарной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hyperlink r:id="rId21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Условия осуществления депозитарной деятельности (действуют с 03.11.2023)</w:t>
              </w:r>
            </w:hyperlink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    29.2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Формы документов, представляемые депонентами в депозитарий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hyperlink r:id="rId22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Формы документов, предоставляемые депонентами в депозитарий (действуют с 03.11.2023)</w:t>
              </w:r>
            </w:hyperlink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    29.3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Формы документов, представляемые депозитарием депонентам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hyperlink r:id="rId23" w:history="1">
              <w:r>
                <w:rPr>
                  <w:rStyle w:val="a4"/>
                  <w:rFonts w:ascii="RF Dewi" w:hAnsi="RF Dewi"/>
                  <w:color w:val="00345E"/>
                  <w:spacing w:val="2"/>
                  <w:u w:val="none"/>
                </w:rPr>
                <w:t>Формы документов, предоставляемые депозитарием депонентам (действуют с 03.11.2023)</w:t>
              </w:r>
            </w:hyperlink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29.4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Перечень регистраторов и депозитариев, в том числе иностранных, в которых депозитарию открыты лицевые счета (счета депо) номинального держателя, с указанием полного фирменного наименования регистратора или депозитария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         Небанковская кредитная организация акционерное общество "Национальный расчетный депозитарий" </w:t>
            </w:r>
          </w:p>
        </w:tc>
      </w:tr>
      <w:tr w:rsidR="00470D3A" w:rsidTr="00470D3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Профессиональный участник рынка ценных бумаг, осуществляющий деятельность по ведению реестра владельцев ценных бумаг (далее - регистратор)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BFB"/>
            <w:vAlign w:val="center"/>
            <w:hideMark/>
          </w:tcPr>
          <w:p w:rsidR="00470D3A" w:rsidRDefault="00470D3A">
            <w:pPr>
              <w:pStyle w:val="a3"/>
              <w:spacing w:before="150" w:beforeAutospacing="0" w:after="150" w:afterAutospacing="0"/>
              <w:jc w:val="center"/>
              <w:rPr>
                <w:rFonts w:ascii="RF Dewi" w:hAnsi="RF Dewi"/>
                <w:color w:val="202020"/>
                <w:spacing w:val="2"/>
              </w:rPr>
            </w:pPr>
            <w:r>
              <w:rPr>
                <w:rFonts w:ascii="RF Dewi" w:hAnsi="RF Dewi"/>
                <w:color w:val="202020"/>
                <w:spacing w:val="2"/>
              </w:rPr>
              <w:t>Деятельность по ведению реестра не осуществляется</w:t>
            </w:r>
          </w:p>
        </w:tc>
      </w:tr>
    </w:tbl>
    <w:p w:rsidR="00470D3A" w:rsidRDefault="00470D3A" w:rsidP="00470D3A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t> </w:t>
      </w:r>
    </w:p>
    <w:p w:rsidR="00470D3A" w:rsidRDefault="00470D3A" w:rsidP="00470D3A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t xml:space="preserve">Если явно </w:t>
      </w:r>
      <w:proofErr w:type="gramStart"/>
      <w:r>
        <w:rPr>
          <w:rFonts w:ascii="RF Dewi" w:hAnsi="RF Dewi"/>
          <w:color w:val="202020"/>
          <w:spacing w:val="2"/>
        </w:rPr>
        <w:t>не указано</w:t>
      </w:r>
      <w:proofErr w:type="gramEnd"/>
      <w:r>
        <w:rPr>
          <w:rFonts w:ascii="RF Dewi" w:hAnsi="RF Dewi"/>
          <w:color w:val="202020"/>
          <w:spacing w:val="2"/>
        </w:rPr>
        <w:t xml:space="preserve"> иное, период раскрываемости указанной информации отсчитывается от даты ее раскрытия до даты, предшествующей дате внесения следующих изменений.</w:t>
      </w:r>
    </w:p>
    <w:p w:rsidR="00470D3A" w:rsidRDefault="00470D3A" w:rsidP="00470D3A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</w:p>
    <w:p w:rsidR="00470D3A" w:rsidRDefault="00470D3A" w:rsidP="00470D3A">
      <w:pPr>
        <w:pStyle w:val="a3"/>
        <w:shd w:val="clear" w:color="auto" w:fill="F9FBFB"/>
        <w:spacing w:before="150" w:beforeAutospacing="0" w:after="150" w:afterAutospacing="0"/>
        <w:rPr>
          <w:rFonts w:ascii="RF Dewi" w:hAnsi="RF Dewi"/>
          <w:color w:val="202020"/>
          <w:spacing w:val="2"/>
        </w:rPr>
      </w:pPr>
      <w:r>
        <w:rPr>
          <w:rFonts w:ascii="RF Dewi" w:hAnsi="RF Dewi"/>
          <w:color w:val="202020"/>
          <w:spacing w:val="2"/>
        </w:rPr>
        <w:t>Данные от 27.02.2024 года</w:t>
      </w:r>
    </w:p>
    <w:p w:rsidR="00651DF1" w:rsidRPr="00470D3A" w:rsidRDefault="00651DF1" w:rsidP="00470D3A"/>
    <w:sectPr w:rsidR="00651DF1" w:rsidRPr="00470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F Dewi"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0F"/>
    <w:rsid w:val="00470D3A"/>
    <w:rsid w:val="00651DF1"/>
    <w:rsid w:val="0081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D4A5C1C-317A-46BF-8C14-5ED76E83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5C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E%D0%9B_(%D0%B2%D1%81%D1%82%D1%83%D0%BF%D0%B0%D0%B5%D1%82_%D0%B2_%D1%81%D0%B8%D0%BB%D1%83_%D1%81_06.10.2023).doc" TargetMode="External"/><Relationship Id="rId13" Type="http://schemas.openxmlformats.org/officeDocument/2006/relationships/hyperlink" Target="https://transstroybank.ru/2023/Brocker/point23_26_10_23/%D0%97%D0%B0%D1%8F%D0%B2%D0%BB%D0%B5%D0%BD%D0%B8%D0%B5_%D0%BD%D0%B0_%D0%B7%D0%B0%D0%BA%D0%BB%D1%8E%D1%87%D0%B5%D0%BD%D0%B8%D0%B5_%D0%B4%D0%B5%D0%BF%D0%BE%D0%B7%D0%B8%D1%82%D0%B0%D1%80%D0%BD%D0%BE%D0%B3%D0%BE_%D0%B4%D0%BE%D0%B3%D0%BE%D0%B2%D0%BE%D1%80%D0%B0_%D0%B4%D0%BB%D1%8F_%D1%8E%D1%80%D0%B8%D0%B4%D0%B8%D1%87%D0%B5%D1%81%D0%BA%D0%B8%D1%85_%D0%BB%D0%B8%D1%86_(%D0%B2%D1%81%D1%82%D1%83%D0%BF%D0%B0%D0%B5%D1%82_%D0%B2_%D1%81%D0%B8%D0%BB%D1%83_%D1%81_03.11.2023).doc" TargetMode="External"/><Relationship Id="rId18" Type="http://schemas.openxmlformats.org/officeDocument/2006/relationships/hyperlink" Target="https://transstroybank.ru/2024/Brocker/point23_27_02_24/%D0%A3%D1%81%D0%BB%D0%BE%D0%B2%D0%B8%D1%8F_%D0%BF%D1%80%D0%B5%D0%B4%D0%BE%D1%81%D1%82%D0%B0%D0%B2%D0%BB%D0%B5%D0%BD%D0%B8%D1%8F_%D0%90%D0%9A%D0%91_%D0%A2%D1%80%D0%B0%D0%BD%D1%81%D1%81%D1%82%D1%80%D0%BE%D0%B9%D0%B1%D0%B0%D0%BD%D0%BA_(%D0%90%D0%9E)_(%D0%91%D0%A3)_(%D0%B2%D1%81%D1%82%D1%83%D0%BF%D0%B0%D1%8E%D1%82_%D0%B2_%D1%81%D0%B8%D0%BB%D1%83_%D1%81_05.03.2024)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ansstroybank.ru/2023/Brocker/point23_26_10_23/%D0%A3%D1%81%D0%BB%D0%BE%D0%B2%D0%B8%D1%8F_%D0%BE%D1%81%D1%83%D1%89%D0%B5%D1%81%D1%82%D0%B2%D0%BB%D0%B5%D0%BD%D0%B8%D1%8F_%D0%B4%D0%B5%D0%BF%D0%BE%D0%B7%D0%B8%D1%82%D0%B0%D1%80%D0%BD%D0%BE%D0%B9_%D0%B4%D0%B5%D1%8F%D1%82%D0%B5%D0%BB%D1%8C%D0%BD%D0%BE%D1%81%D1%82%D0%B8_(%D0%B2%D1%81%D1%82%D1%83%D0%BF%D0%B0%D1%8E%D1%82_%D0%B2_%D1%81%D0%B8%D0%BB%D1%83_%D1%81_03.11.2023).docx" TargetMode="External"/><Relationship Id="rId7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6.10.2023).doc" TargetMode="External"/><Relationship Id="rId12" Type="http://schemas.openxmlformats.org/officeDocument/2006/relationships/hyperlink" Target="https://transstroybank.ru/2023/Brocker/point23_26_10_23/%D0%97%D0%B0%D1%8F%D0%B2%D0%BB%D0%B5%D0%BD%D0%B8%D0%B5_%D0%BD%D0%B0_%D0%B7%D0%B0%D0%BA%D0%BB%D1%8E%D1%87%D0%B5%D0%BD%D0%B8%D0%B5_%D0%B4%D0%B5%D0%BF%D0%BE%D0%B7%D0%B8%D1%82%D0%B0%D1%80%D0%BD%D0%BE%D0%B3%D0%BE_%D0%B4%D0%BE%D0%B3%D0%BE%D0%B2%D0%BE%D1%80%D0%B0_%D0%B4%D0%BB%D1%8F_%D1%84%D0%B8%D0%B7%D0%B8%D1%87%D0%B5%D1%81%D0%BA%D0%B8%D1%85_%D0%BB%D0%B8%D1%86_(%D0%B2%D1%81%D1%82%D1%83%D0%BF%D0%B0%D0%B5%D1%82_%D0%B2_%D1%81%D0%B8%D0%BB%D1%83_%D1%81_03.11.2023).doc" TargetMode="External"/><Relationship Id="rId17" Type="http://schemas.openxmlformats.org/officeDocument/2006/relationships/hyperlink" Target="https://transstroybank.ru/2024/Brocker/point23_27_02_24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(%D0%98%D0%98%D0%A1)_(%D0%B2%D1%81%D1%82%D1%83%D0%BF%D0%B0%D0%B5%D1%82_%D0%B2_%D1%81%D0%B8%D0%BB%D1%83_%D1%81_05.03.2024).doc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transstroybank.ru/2024/Brocker/point23_27_02_24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E%D0%9B_(%D0%B2%D1%81%D1%82%D1%83%D0%BF%D0%B0%D0%B5%D1%82_%D0%B2_%D1%81%D0%B8%D0%BB%D1%83_%D1%81_05.03.2024).doc" TargetMode="External"/><Relationship Id="rId20" Type="http://schemas.openxmlformats.org/officeDocument/2006/relationships/hyperlink" Target="https://transstroybank.ru/2021/november/%D0%A0%D0%B5%D0%B3%D0%BB%D0%B0%D0%BC%D0%B5%D0%BD%D1%82%20%D0%BF%D1%80%D0%B8%D0%B7%D0%BD%D0%B0%D0%BD%D0%B8%D1%8F%20%D0%BB%D0%B8%D1%86%20%D0%BA%D0%B2%D0%B0%D0%BB%D0%B8%D1%84%D0%B8%D1%86%D0%B8%D1%80%D0%BE%D0%B2%D0%B0%D0%BD%D0%BD%D1%8B%D0%BC%D0%B8%20%D0%B8%D0%BD%D0%B2%D0%B5%D1%81%D1%82%D0%BE%D1%80%D0%B0%D0%BC%D0%B8%20(%D0%B4%D0%B5%D0%B9%D1%81%D1%82%D0%B2%D1%83%D0%B5%D1%82%20%D1%81%2007.11.2021)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naufor.ru/tree.asp?n=16042" TargetMode="External"/><Relationship Id="rId11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(%D0%98%D0%98%D0%A1)_10.23_(%D0%B2%D1%81%D1%82%D1%83%D0%BF%D0%B0%D1%8E%D1%82_%D0%B2_%D1%81%D0%B8%D0%BB%D1%83_%D1%81_06.10.2023).docx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transstroybank.ru/zagruzka/licenzia1.jpg" TargetMode="External"/><Relationship Id="rId15" Type="http://schemas.openxmlformats.org/officeDocument/2006/relationships/hyperlink" Target="https://transstroybank.ru/2024/Brocker/point23_27_02_24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%D0%B4%D0%BB%D1%8F_%D0%A4%D0%9B_(%D0%B2%D1%81%D1%82%D1%83%D0%BF%D0%B0%D0%B5%D1%82_%D0%B2_%D1%81%D0%B8%D0%BB%D1%83_%D1%81_05.03.2024).doc" TargetMode="External"/><Relationship Id="rId23" Type="http://schemas.openxmlformats.org/officeDocument/2006/relationships/hyperlink" Target="https://transstroybank.ru/2023/Brocker/point23_26_10_23/%D0%A4%D0%BE%D1%80%D0%BC%D1%8B_%D0%B4%D0%BE%D0%BA%D1%83%D0%BC%D0%B5%D0%BD%D1%82%D0%BE%D0%B2,_%D0%BF%D1%80%D0%B5%D0%B4%D0%BE%D1%81%D1%82%D0%B0%D0%B2%D0%BB%D1%8F%D0%B5%D0%BC%D1%8B%D0%B5_%D0%B4%D0%B5%D0%BF%D0%BE%D0%B7%D0%B8%D1%82%D0%B0%D1%80%D0%B8%D0%B5%D0%BC_%D0%B4%D0%B5%D0%BF%D0%BE%D0%BD%D0%B5%D0%BD%D1%82%D0%B0%D0%BC_(%D0%B2%D1%81%D1%82%D1%83%D0%BF%D0%B0%D1%8E%D1%82_%D0%B2_%D1%81%D0%B8%D0%BB%D1%83_%D1%81_03.11.2023).doc" TargetMode="External"/><Relationship Id="rId10" Type="http://schemas.openxmlformats.org/officeDocument/2006/relationships/hyperlink" Target="https://transstroybank.ru/2023/Brocker/point23/%D0%A3%D1%81%D0%BB%D0%BE%D0%B2%D0%B8%D1%8F_%D0%BF%D1%80%D0%B5%D0%B4%D0%BE%D1%81%D1%82%D0%B0%D0%B2%D0%BB%D0%B5%D0%BD%D0%B8%D1%8F_%D0%90%D0%9A%D0%91_%C2%AB%D0%A2%D1%80%D0%B0%D0%BD%D1%81%D1%81%D1%82%D1%80%D0%BE%D0%B9%D0%B1%D0%B0%D0%BD%D0%BA%C2%BB_(%D0%90%D0%9E)_%D0%B1%D1%80%D0%BE%D0%BA%D0%B5%D1%80%D1%81%D0%BA%D0%B8%D1%85_%D1%83%D1%81%D0%BB%D1%83%D0%B3_10.23_(%D0%B2%D1%81%D1%82%D1%83%D0%BF%D0%B0%D1%8E%D1%82_%D0%B2_%D1%81%D0%B8%D0%BB%D1%83_%D1%81_06.10.2023).doc" TargetMode="External"/><Relationship Id="rId19" Type="http://schemas.openxmlformats.org/officeDocument/2006/relationships/hyperlink" Target="https://transstroybank.ru/2024/Brocker/point23_27_02_24/%D0%A3%D1%81%D0%BB%D0%BE%D0%B2%D0%B8%D1%8F_%D0%BF%D1%80%D0%B5%D0%B4%D0%BE%D1%81%D1%82%D0%B0%D0%B2%D0%BB%D0%B5%D0%BD%D0%B8%D1%8F_%D0%90%D0%9A%D0%91_%D0%A2%D1%80%D0%B0%D0%BD%D1%81%D1%81%D1%82%D1%80%D0%BE%D0%B9%D0%B1%D0%B0%D0%BD%D0%BA_(%D0%90%D0%9E)_(%D0%98%D0%98%D0%A1)_(%D0%B2%D1%81%D1%82%D1%83%D0%BF%D0%B0%D1%8E%D1%82_%D0%B2_%D1%81%D0%B8%D0%BB%D1%83_%D1%81_05.03.2024).docx" TargetMode="External"/><Relationship Id="rId4" Type="http://schemas.openxmlformats.org/officeDocument/2006/relationships/hyperlink" Target="mailto:tsbank@transstroibank.ru" TargetMode="External"/><Relationship Id="rId9" Type="http://schemas.openxmlformats.org/officeDocument/2006/relationships/hyperlink" Target="https://transstroybank.ru/2023/Brocker/point23/%D0%97%D0%B0%D1%8F%D0%B2%D0%BB%D0%B5%D0%BD%D0%B8%D0%B5_%D0%BE%D0%B1_%D0%B0%D0%BA%D1%86%D0%B5%D0%BF%D1%82%D0%B5_%D1%83%D1%81%D0%BB%D0%BE%D0%B2%D0%B8%D0%B9_%D0%BF%D1%80%D0%B5%D0%B4%D0%BE%D1%81%D1%82%D0%B0%D0%B2%D0%BB%D0%B5%D0%BD%D0%B8%D1%8F_%D0%B1%D1%80%D0%BE%D0%BA%D0%B5%D1%80%D1%81%D0%BA%D0%B8%D1%85_%D1%83%D1%81%D0%BB%D1%83%D0%B3_(%D0%98%D0%98%D0%A1)_(%D0%B2%D1%81%D1%82%D1%83%D0%BF%D0%B0%D0%B5%D1%82_%D0%B2_%D1%81%D0%B8%D0%BB%D1%83_%D1%81_06.10.2023).doc" TargetMode="External"/><Relationship Id="rId14" Type="http://schemas.openxmlformats.org/officeDocument/2006/relationships/hyperlink" Target="https://transstroybank.ru/2023/Brocker/point23_26_10_23/%D0%A3%D1%81%D0%BB%D0%BE%D0%B2%D0%B8%D1%8F_%D0%BE%D1%81%D1%83%D1%89%D0%B5%D1%81%D1%82%D0%B2%D0%BB%D0%B5%D0%BD%D0%B8%D1%8F_%D0%B4%D0%B5%D0%BF%D0%BE%D0%B7%D0%B8%D1%82%D0%B0%D1%80%D0%BD%D0%BE%D0%B9_%D0%B4%D0%B5%D1%8F%D1%82%D0%B5%D0%BB%D1%8C%D0%BD%D0%BE%D1%81%D1%82%D0%B8_(%D0%B2%D1%81%D1%82%D1%83%D0%BF%D0%B0%D1%8E%D1%82_%D0%B2_%D1%81%D0%B8%D0%BB%D1%83_%D1%81_03.11.2023).docx" TargetMode="External"/><Relationship Id="rId22" Type="http://schemas.openxmlformats.org/officeDocument/2006/relationships/hyperlink" Target="https://transstroybank.ru/2023/Brocker/point23_26_10_23/%D0%A4%D0%BE%D1%80%D0%BC%D1%8B_%D0%B4%D0%BE%D0%BA%D1%83%D0%BC%D0%B5%D0%BD%D1%82%D0%BE%D0%B2,_%D0%BF%D1%80%D0%B5%D0%B4%D0%BE%D1%81%D1%82%D0%B0%D0%B2%D0%BB%D1%8F%D0%B5%D0%BC%D1%8B%D0%B5_%D0%B4%D0%B5%D0%BF%D0%BE%D0%BD%D0%B5%D0%BD%D1%82%D0%B0%D0%BC%D0%B8_%D0%B2_%D0%B4%D0%B5%D0%BF%D0%BE%D0%B7%D0%B8%D1%82%D0%B0%D1%80%D0%B8%D0%B9_(%D0%B2%D1%81%D1%82%D1%83%D0%BF%D0%B0%D1%8E%D1%82_%D0%B2_%D1%81%D0%B8%D0%BB%D1%83_%D1%81_03.11.2023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Мельниченко</dc:creator>
  <cp:keywords/>
  <dc:description/>
  <cp:lastModifiedBy>Маргарита Мельниченко</cp:lastModifiedBy>
  <cp:revision>2</cp:revision>
  <dcterms:created xsi:type="dcterms:W3CDTF">2024-03-05T06:11:00Z</dcterms:created>
  <dcterms:modified xsi:type="dcterms:W3CDTF">2024-03-05T06:11:00Z</dcterms:modified>
</cp:coreProperties>
</file>