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01" w:rsidRPr="007C1201" w:rsidRDefault="007C1201" w:rsidP="007C1201">
      <w:pPr>
        <w:numPr>
          <w:ilvl w:val="0"/>
          <w:numId w:val="1"/>
        </w:numPr>
        <w:pBdr>
          <w:bottom w:val="single" w:sz="6" w:space="0" w:color="DDDDDD"/>
        </w:pBdr>
        <w:shd w:val="clear" w:color="auto" w:fill="F9FBFB"/>
        <w:spacing w:before="100" w:beforeAutospacing="1" w:after="100" w:afterAutospacing="1" w:line="240" w:lineRule="auto"/>
        <w:ind w:left="0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begin"/>
      </w: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instrText xml:space="preserve"> HYPERLINK "https://transstroybank.ru/o-banke/raskrytie-informatsii/" </w:instrText>
      </w: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separate"/>
      </w:r>
      <w:r w:rsidRPr="007C1201">
        <w:rPr>
          <w:rFonts w:ascii="RF Dewi" w:eastAsia="Times New Roman" w:hAnsi="RF Dewi" w:cs="Times New Roman"/>
          <w:caps/>
          <w:color w:val="00345E"/>
          <w:spacing w:val="2"/>
          <w:sz w:val="30"/>
          <w:szCs w:val="30"/>
          <w:lang w:eastAsia="ru-RU"/>
        </w:rPr>
        <w:t xml:space="preserve">Раскрытие информации АКБ «Трансстройбанк» (АО) как профессиональным участником рынка ценных </w:t>
      </w:r>
      <w:proofErr w:type="spellStart"/>
      <w:r w:rsidRPr="007C1201">
        <w:rPr>
          <w:rFonts w:ascii="RF Dewi" w:eastAsia="Times New Roman" w:hAnsi="RF Dewi" w:cs="Times New Roman"/>
          <w:caps/>
          <w:color w:val="00345E"/>
          <w:spacing w:val="2"/>
          <w:sz w:val="30"/>
          <w:szCs w:val="30"/>
          <w:lang w:eastAsia="ru-RU"/>
        </w:rPr>
        <w:t>бумаг</w:t>
      </w:r>
      <w:r w:rsidRPr="007C1201">
        <w:rPr>
          <w:rFonts w:ascii="RF Dewi" w:eastAsia="Times New Roman" w:hAnsi="RF Dewi" w:cs="Times New Roman"/>
          <w:color w:val="00345E"/>
          <w:spacing w:val="2"/>
          <w:sz w:val="24"/>
          <w:szCs w:val="24"/>
          <w:lang w:eastAsia="ru-RU"/>
        </w:rPr>
        <w:t>Свернуть</w:t>
      </w:r>
      <w:proofErr w:type="spellEnd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end"/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</w:t>
      </w:r>
      <w:proofErr w:type="spellStart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профессиональным участником рынка ценных бумаг.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об АКБ «</w:t>
      </w:r>
      <w:proofErr w:type="spellStart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» (АО) как </w:t>
      </w:r>
      <w:bookmarkStart w:id="0" w:name="_GoBack"/>
      <w:bookmarkEnd w:id="0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12"/>
        <w:gridCol w:w="3947"/>
      </w:tblGrid>
      <w:tr w:rsidR="007C1201" w:rsidRPr="007C1201" w:rsidTr="007C1201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1201" w:rsidRPr="007C1201" w:rsidTr="007C120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Информация о профессиональном участнике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профессионального участника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Акционерный коммерческий банк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(Акционерное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АКБ «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Commercial Bank «Transstroibank» (Joint Stock Company) / «Transstroibank»</w:t>
            </w:r>
          </w:p>
          <w:p w:rsidR="007C1201" w:rsidRPr="007C1201" w:rsidRDefault="007C1201" w:rsidP="007C12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7C1201" w:rsidRPr="007C1201" w:rsidRDefault="007C1201" w:rsidP="007C12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7730059592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1027739582089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115093, г. Москва, ул.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д.94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http://www.transstroybank.ru</w:t>
              </w:r>
            </w:hyperlink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tsbank@transstroibank.ru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расчетного счета и (или) корреспондентского счета (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субсчета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единоличного исполнительного органа профессионального участника;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совета директоров (наблюдательного совета) профессионального участника;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кредитных организаций,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некредитные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контролера профессионального участника: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Дмитрий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Сергеевич,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13.08.2018 по настоящее время – Контролер профессионального участника рынка ценных бумаг.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Шведова Наталья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09.08.2021 по настоящее время - Начальник Службы внутреннего аудита,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08.01.2016 по 09.08.2021 – Начальник Службы внутреннего контроля.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Лицо, ответственное за организацию системы управления рисками (руководителя отдельного структурного подразделения, </w:t>
            </w: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ответственного за организацию системы управления рисками) профессионального участника: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Гринина Наталья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Владимировна,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18.10.2021 по настоящее время - Начальник Управления финансового анализа и риск-менеджмента,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 СРО и даты вступления профессионального участника в СРО;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и представительства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Центральном офисе.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94 (м. Павелецкая / м.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Тульская)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 (495) 786-37-73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 (495) 786-26-08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9:00 - 18:30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обслуживания клиентов: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юридических лиц: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9:30 - 17:30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физических лиц: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9:30 - 18:30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связанных с оказанием таких услуг, осуществляется также в следующих офисах: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Калининград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236022, г. Калининград, пер. Кирова, д. 2, пом. IV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(4012) 971-053, 971-054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09:30 - 17:30, обед: 13:00 - 14:00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в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420111, г. Казань, ул. Карла Маркса, д. 59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 +7 (843) 210-00-80, 204-21-02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Пермь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614007, г. Пермь, ул. Тимирязева, 24а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(342) 206-53-23, 207-25-35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''Горьковский'' в г. Нижний Новгород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603000, г. Нижний Новгород, ул. Студеная, д. 5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 (831) 214-0135, 8 (831) 214-0120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Липецк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398001, г. Липецк, ул. Советская, д.45, пом. 4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(4742) 47-60-12, 47-60-23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Тюмень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625023, Тюменская обл., г. Тюмень, ул. Республики, д. 175, часть нежилого пом. № 1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(495) 786-37-73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вн.тел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4623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отношении агентов (поверенных) - российских юридических лиц - полного и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сокращенного (при наличии) фирменного наименования, ОГРН, ИНН;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TIN) или его аналога (при наличии);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физических лиц - фамилии, имени, отчества (при наличии);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Агенты (поверенные) отсутствуют</w:t>
            </w:r>
          </w:p>
        </w:tc>
      </w:tr>
      <w:tr w:rsidR="007C1201" w:rsidRPr="007C1201" w:rsidTr="007C120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Документы и отчетность профессионального участника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https://naufor.ru/tree.asp?n=16042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 xml:space="preserve">» (АО) </w:t>
              </w:r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lastRenderedPageBreak/>
                <w:t>(действуют с 03.11.2023)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брокерских услуг (действуют с 05.03.2024)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брокерских услуг с открытием и ведением ИИС (действуют с 05.03.2024)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14.02.2024)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13.09.2023)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Регламент признания лиц квалифицированными инвесторами в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(действует с 23.05.2025)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консолидированная финансовая отчетность (финансовая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пункту 12 Указания Банка России от 02.08.2023 г № 6496-У,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7C1201" w:rsidRPr="007C1201" w:rsidTr="007C120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Информация о деятельности профессионального участника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устранении технического сбоя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фактических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технического сбоя;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устранения технического сбоя;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раскрываемой информации;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прекращения доступа к раскрываемой информации;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Случаи прекращения доступа к раскрываемой информации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прекращения доступа к раскрываемой информации;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дело о банкротстве;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 о банкротстве;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следующих судебных актов по делу о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банкротстве: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(жалобы) принимаются профессиональным участником по указанным реквизитам: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94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WEB-сервера АКБ «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(АО) в сети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  <w:proofErr w:type="gramEnd"/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http://www.transstroуbank.ru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Телефон: +7 (495) 786-37-73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9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E-mail: tsbank@transstroibank.ru</w:t>
              </w:r>
            </w:hyperlink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обеспечения;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ДБО BS-</w:t>
            </w:r>
            <w:proofErr w:type="spell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</w:t>
            </w:r>
            <w:proofErr w:type="spell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x64 - система дистанционного банковского обслуживания для юридических лиц.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ДБО Faktura.ru - система дистанционного банковского обслуживания для физических лиц.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осуществления электронного документооборота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конфиденциальности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передаваемой/получаемой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7C1201" w:rsidRPr="007C1201" w:rsidTr="007C120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брокеров;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ОГРН 1067711004481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7750004023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«Московская Биржа ММВБ-РТС» (ПАО Московская Биржа)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1027739387411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7702077840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полного и сокращенного (при наличии) фирменного наименования, ОГРН, ИНН клиринговых организаций;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Депозитарием дополнительно раскрывается: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03.11.2023)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(при его наличии);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действующего в интересах других лиц;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1027739132563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7702165310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 «Независимая регистраторская компания Р.О.С.Т.» (АО «НРК- Р.О.С.Т.»)</w:t>
            </w:r>
          </w:p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1027739216757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7726030449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наличии, деятельность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Тарифы комиссионного вознаграждения АКБ «</w:t>
              </w:r>
              <w:proofErr w:type="spellStart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7C1201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» (АО) за депозитарные операции</w:t>
              </w:r>
            </w:hyperlink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Регистратором дополнительно раскрывается: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(в случае прекращения договора на ведение Реестра);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договора на ведение Реестра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договора на ведение Реестра;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требования.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раскрывается в части, не 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инвестиционному консультированию не осуществляется</w:t>
            </w:r>
          </w:p>
        </w:tc>
      </w:tr>
      <w:tr w:rsidR="007C1201" w:rsidRPr="007C1201" w:rsidTr="007C12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программы;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наличия аккредитации программы;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аккредитации программы;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201" w:rsidRPr="007C1201" w:rsidRDefault="007C1201" w:rsidP="007C12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</w:tbl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Дата и время размещения информации: 23.05.2025 г. 12 ч. 55 м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Внесены изменения в п.15. информации профессионального участника, подлежащей обязательному раскрытию, в связи со вступлением в силу новой редакции Регламента признания лиц квалифицированными инвесторами в АКБ «</w:t>
      </w:r>
      <w:proofErr w:type="spellStart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(АО).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225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4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https://transstroybank.ru/chastnym-klientam/investitsii/investitsii/brokerskoe-obsluzhivanie/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Autospacing="1" w:after="0" w:afterAutospacing="1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7C1201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br/>
      </w:r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5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23.05.2025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6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13.02.2025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7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09.07.2024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8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26.06.2024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9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05.06.2024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0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01.04.2024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1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05.03.2024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2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27.02.2024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3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03.11.2023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4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26.10.2023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5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06.10.2023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6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28.09.2023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7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8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16.08.2023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9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06.04.2023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0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30.03.2023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1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01.09.2022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2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26.08.2022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3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24.03.2022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4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18.03.2022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5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08.11.2021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6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01.11.2021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7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01.10.2021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8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24.09.2021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9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0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25.08.2021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1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09.06.2021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2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03.06.2021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3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26.04.2021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4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20.04.2021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5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6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26.03.2021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7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24.08.2020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8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13.08.2020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9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05.02.2020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0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31.01.2020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1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02.12.2019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2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27.11.2019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3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30.07.2019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4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18.07.2019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5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09.07.2019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6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04.07.2019</w:t>
        </w:r>
      </w:hyperlink>
    </w:p>
    <w:p w:rsidR="007C1201" w:rsidRPr="007C1201" w:rsidRDefault="007C1201" w:rsidP="007C1201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7" w:history="1">
        <w:r w:rsidRPr="007C1201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22.02.2019</w:t>
        </w:r>
      </w:hyperlink>
    </w:p>
    <w:p w:rsidR="00EC2277" w:rsidRDefault="00EC2277"/>
    <w:sectPr w:rsidR="00EC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7194F"/>
    <w:multiLevelType w:val="multilevel"/>
    <w:tmpl w:val="34A4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7B"/>
    <w:rsid w:val="007C1201"/>
    <w:rsid w:val="00EC2277"/>
    <w:rsid w:val="00F7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F780C1-F1FC-43ED-BF11-9C7512A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stroyba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4/Brocker/archive_27.02.24.docx" TargetMode="External"/><Relationship Id="rId47" Type="http://schemas.openxmlformats.org/officeDocument/2006/relationships/hyperlink" Target="https://transstroybank.ru/2023/Brocker/archive_01.09.23.docx" TargetMode="External"/><Relationship Id="rId63" Type="http://schemas.openxmlformats.org/officeDocument/2006/relationships/hyperlink" Target="https://transstroybank.ru/2021/april/26/%D0%B0%D1%80%D1%85%D0%B8%D0%B2260421.docx" TargetMode="External"/><Relationship Id="rId68" Type="http://schemas.openxmlformats.org/officeDocument/2006/relationships/hyperlink" Target="https://transstroybank.ru/zagruzka/130820/%D0%B0%D1%80%D1%85%D0%B8%D0%B2%20%D0%BE%D1%82%2013.08.20.docx" TargetMode="Externa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11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24" Type="http://schemas.openxmlformats.org/officeDocument/2006/relationships/hyperlink" Target="https://transstroybank.ru/o-banke/finansovaya-otchetnost/" TargetMode="External"/><Relationship Id="rId32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37" Type="http://schemas.openxmlformats.org/officeDocument/2006/relationships/hyperlink" Target="https://transstroybank.ru/2024/Brocker/archive_09.07.24.docx" TargetMode="External"/><Relationship Id="rId40" Type="http://schemas.openxmlformats.org/officeDocument/2006/relationships/hyperlink" Target="https://transstroybank.ru/2024/Brocker/archive_01.04.24.docx" TargetMode="External"/><Relationship Id="rId45" Type="http://schemas.openxmlformats.org/officeDocument/2006/relationships/hyperlink" Target="https://transstroybank.ru/2023/Brocker/archive_06.10.23.docx" TargetMode="External"/><Relationship Id="rId53" Type="http://schemas.openxmlformats.org/officeDocument/2006/relationships/hyperlink" Target="https://transstroybank.ru/2022/3/%D0%90%D1%80%D1%85%D0%B8%D0%B2240322.docx" TargetMode="External"/><Relationship Id="rId58" Type="http://schemas.openxmlformats.org/officeDocument/2006/relationships/hyperlink" Target="https://transstroybank.ru/2021/september/24/%D0%90%D1%80%D1%85%D0%B8%D0%B2240921.docx" TargetMode="External"/><Relationship Id="rId66" Type="http://schemas.openxmlformats.org/officeDocument/2006/relationships/hyperlink" Target="https://transstroybank.ru/zagruzka/%D0%BC%D0%B0%D1%80%D1%82/%D0%B0%D1%80%D1%85%D0%B8%D0%B2260321.docx" TargetMode="External"/><Relationship Id="rId74" Type="http://schemas.openxmlformats.org/officeDocument/2006/relationships/hyperlink" Target="https://transstroybank.ru/zagruzka/%D0%90%D1%80%D1%85%D0%B8%D0%B2%20%D0%BE%D1%82%2018.07.2019.docx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www.transstroibank.ru/" TargetMode="External"/><Relationship Id="rId61" Type="http://schemas.openxmlformats.org/officeDocument/2006/relationships/hyperlink" Target="https://transstroybank.ru/2021/june/09/%D0%B0%D1%80%D1%85%D0%B8%D0%B2210609.docx" TargetMode="External"/><Relationship Id="rId19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14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http://www.tsbnk.ru/" TargetMode="External"/><Relationship Id="rId30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35" Type="http://schemas.openxmlformats.org/officeDocument/2006/relationships/hyperlink" Target="https://transstroybank.ru/2025/Brocker/archive_23.05.25.docx" TargetMode="External"/><Relationship Id="rId43" Type="http://schemas.openxmlformats.org/officeDocument/2006/relationships/hyperlink" Target="https://transstroybank.ru/2023/Brocker/archive_03.11.23.docx" TargetMode="External"/><Relationship Id="rId48" Type="http://schemas.openxmlformats.org/officeDocument/2006/relationships/hyperlink" Target="https://transstroybank.ru/2023/Brocker/archive_16.08.23.docx" TargetMode="External"/><Relationship Id="rId56" Type="http://schemas.openxmlformats.org/officeDocument/2006/relationships/hyperlink" Target="https://transstroybank.ru/2021/november/%D0%90%D1%80%D1%85%D0%B8%D0%B2011121.docx" TargetMode="External"/><Relationship Id="rId64" Type="http://schemas.openxmlformats.org/officeDocument/2006/relationships/hyperlink" Target="https://transstroybank.ru/2021/april/20/%D0%B0%D1%80%D1%85%D0%B8%D0%B2200421.docx" TargetMode="External"/><Relationship Id="rId69" Type="http://schemas.openxmlformats.org/officeDocument/2006/relationships/hyperlink" Target="https://transstroybank.ru/zagruzka/galkin/%D0%90%D1%80%D1%85%D0%B8%D0%B2%20050520.docx" TargetMode="External"/><Relationship Id="rId77" Type="http://schemas.openxmlformats.org/officeDocument/2006/relationships/hyperlink" Target="https://transstroybank.ru/zagruzka/%D0%90%D1%80%D1%85%D0%B8%D0%B2%20%D0%BE%D1%82%2022.02.2019.docx" TargetMode="External"/><Relationship Id="rId8" Type="http://schemas.openxmlformats.org/officeDocument/2006/relationships/hyperlink" Target="mailto:tsbank@transstroibank.ru" TargetMode="External"/><Relationship Id="rId51" Type="http://schemas.openxmlformats.org/officeDocument/2006/relationships/hyperlink" Target="https://transstroybank.ru/2022/9/%D0%90%D0%A0%D0%A5%D0%98%D0%92%20%D0%9E%D0%A2%2001.09.22.docx" TargetMode="External"/><Relationship Id="rId72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25" Type="http://schemas.openxmlformats.org/officeDocument/2006/relationships/hyperlink" Target="http://www.transstroibank.ru/" TargetMode="External"/><Relationship Id="rId33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8" Type="http://schemas.openxmlformats.org/officeDocument/2006/relationships/hyperlink" Target="https://transstroybank.ru/2024/Brocker/archive_26.06.24.docx" TargetMode="External"/><Relationship Id="rId46" Type="http://schemas.openxmlformats.org/officeDocument/2006/relationships/hyperlink" Target="https://transstroybank.ru/2023/Brocker/archive_28.09.23.docx" TargetMode="External"/><Relationship Id="rId59" Type="http://schemas.openxmlformats.org/officeDocument/2006/relationships/hyperlink" Target="https://transstroybank.ru/2021/september/01/%D0%B0%D1%80%D1%85%D0%B8%D0%B2010921.docx" TargetMode="External"/><Relationship Id="rId67" Type="http://schemas.openxmlformats.org/officeDocument/2006/relationships/hyperlink" Target="https://transstroybank.ru/zagruzka/galkin/200824/%D0%90%D0%A0%D0%A5%D0%98%D0%92%20240820.docx" TargetMode="External"/><Relationship Id="rId20" Type="http://schemas.openxmlformats.org/officeDocument/2006/relationships/hyperlink" Target="https://transstroybank.ru/2025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(%D0%B4%D0%B5%D0%B9%D1%81%D1%82%D0%B2%D1%83%D0%B5%D1%82_%D1%81_23.05.2025).docx" TargetMode="External"/><Relationship Id="rId41" Type="http://schemas.openxmlformats.org/officeDocument/2006/relationships/hyperlink" Target="https://transstroybank.ru/2024/Brocker/archive_05.03.24.docx" TargetMode="External"/><Relationship Id="rId54" Type="http://schemas.openxmlformats.org/officeDocument/2006/relationships/hyperlink" Target="https://transstroybank.ru/2022/%D0%90%D1%80%D1%85%D0%B8%D0%B2%2018.03.22.docx" TargetMode="External"/><Relationship Id="rId62" Type="http://schemas.openxmlformats.org/officeDocument/2006/relationships/hyperlink" Target="https://transstroybank.ru/2021/june/%D0%B0%D1%80%D1%85%D0%B8%D0%B2210603.docx" TargetMode="External"/><Relationship Id="rId70" Type="http://schemas.openxmlformats.org/officeDocument/2006/relationships/hyperlink" Target="https://transstroybank.ru/zagruzka/galkin/%D0%B0%D1%80%D1%85%D0%B8%D0%B2310120.docx" TargetMode="External"/><Relationship Id="rId75" Type="http://schemas.openxmlformats.org/officeDocument/2006/relationships/hyperlink" Target="https://transstroybank.ru/zagruzka/%D0%B0%D1%80%D1%85%D0%B8%D0%B2%2009.07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stroybank.ru/" TargetMode="External"/><Relationship Id="rId15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tel:+7%20(495)%20786-37-73" TargetMode="External"/><Relationship Id="rId36" Type="http://schemas.openxmlformats.org/officeDocument/2006/relationships/hyperlink" Target="https://transstroybank.ru/2025/Brocker/archive_13.02.25.docx" TargetMode="External"/><Relationship Id="rId49" Type="http://schemas.openxmlformats.org/officeDocument/2006/relationships/hyperlink" Target="https://transstroybank.ru/2023/Brocker/archive_06.04.23.docx" TargetMode="External"/><Relationship Id="rId57" Type="http://schemas.openxmlformats.org/officeDocument/2006/relationships/hyperlink" Target="https://transstroybank.ru/2021/october/1/%D0%90%D1%80%D1%85%D0%B8%D0%B2011021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44" Type="http://schemas.openxmlformats.org/officeDocument/2006/relationships/hyperlink" Target="https://transstroybank.ru/2023/Brocker/archive_26.10.23.docx" TargetMode="External"/><Relationship Id="rId52" Type="http://schemas.openxmlformats.org/officeDocument/2006/relationships/hyperlink" Target="https://transstroybank.ru/2022/8/%D0%90%D0%A0%D0%A5%D0%98%D0%92%20%D0%9E%D0%A2%2026.08.22.docx" TargetMode="External"/><Relationship Id="rId60" Type="http://schemas.openxmlformats.org/officeDocument/2006/relationships/hyperlink" Target="https://transstroybank.ru/2021/august/2508/%D0%90%D1%80%D1%85%D0%B8%D0%B2%20%D0%BE%D1%82%2025.08.2021.docx" TargetMode="External"/><Relationship Id="rId65" Type="http://schemas.openxmlformats.org/officeDocument/2006/relationships/hyperlink" Target="https://transstroybank.ru/2021/april/%D0%B0%D1%80%D1%85%D0%B8%D0%B20104.docx" TargetMode="External"/><Relationship Id="rId73" Type="http://schemas.openxmlformats.org/officeDocument/2006/relationships/hyperlink" Target="https://transstroybank.ru/zagruzka/%D0%B0%D1%80%D1%85%D0%B8%D0%B2%2030.07.docx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ufor.ru/tree.asp?n=16042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39" Type="http://schemas.openxmlformats.org/officeDocument/2006/relationships/hyperlink" Target="https://transstroybank.ru/2024/Brocker/archive_05.06.24.docx" TargetMode="External"/><Relationship Id="rId34" Type="http://schemas.openxmlformats.org/officeDocument/2006/relationships/hyperlink" Target="https://transstroybank.ru/chastnym-klientam/investitsii/investitsii/brokerskoe-obsluzhivanie/" TargetMode="External"/><Relationship Id="rId50" Type="http://schemas.openxmlformats.org/officeDocument/2006/relationships/hyperlink" Target="https://transstroybank.ru/2023/Brocker/archive_30.03.23.docx" TargetMode="External"/><Relationship Id="rId55" Type="http://schemas.openxmlformats.org/officeDocument/2006/relationships/hyperlink" Target="https://transstroybank.ru/2021/november/%D0%90%D1%80%D1%85%D0%B8%D0%B2081121.docx" TargetMode="External"/><Relationship Id="rId76" Type="http://schemas.openxmlformats.org/officeDocument/2006/relationships/hyperlink" Target="https://transstroybank.ru/zagruzka/%D0%90%D1%80%D1%85%D0%B8%D0%B2%20%D0%BE%D1%82%2004.07.2019.docx" TargetMode="External"/><Relationship Id="rId7" Type="http://schemas.openxmlformats.org/officeDocument/2006/relationships/hyperlink" Target="http://www.tsbnk.ru/" TargetMode="External"/><Relationship Id="rId71" Type="http://schemas.openxmlformats.org/officeDocument/2006/relationships/hyperlink" Target="https://transstroybank.ru/zagruzka/galkin/%D0%B0%D1%80%D1%85%D0%B8%D0%B20212.docx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ank@transstroi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9299</Words>
  <Characters>53006</Characters>
  <Application>Microsoft Office Word</Application>
  <DocSecurity>0</DocSecurity>
  <Lines>441</Lines>
  <Paragraphs>124</Paragraphs>
  <ScaleCrop>false</ScaleCrop>
  <Company>Hewlett-Packard Company</Company>
  <LinksUpToDate>false</LinksUpToDate>
  <CharactersWithSpaces>62181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2025-08-13T08:42:00Z</dcterms:created>
  <dcterms:modified xsi:type="dcterms:W3CDTF">2025-08-13T08:43:00Z</dcterms:modified>
</cp:coreProperties>
</file>