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B9" w:rsidRPr="00B94BB9" w:rsidRDefault="00B94BB9" w:rsidP="00B94BB9">
      <w:pPr>
        <w:numPr>
          <w:ilvl w:val="0"/>
          <w:numId w:val="1"/>
        </w:numPr>
        <w:pBdr>
          <w:bottom w:val="single" w:sz="6" w:space="0" w:color="DDDDDD"/>
        </w:pBdr>
        <w:shd w:val="clear" w:color="auto" w:fill="F9FBFB"/>
        <w:spacing w:before="100" w:beforeAutospacing="1" w:after="100" w:afterAutospacing="1" w:line="240" w:lineRule="auto"/>
        <w:ind w:left="0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begin"/>
      </w: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instrText xml:space="preserve"> HYPERLINK "https://transstroybank.ru/o-banke/raskrytie-informatsii/" </w:instrText>
      </w: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separate"/>
      </w:r>
      <w:r w:rsidRPr="00B94BB9">
        <w:rPr>
          <w:rFonts w:ascii="RF Dewi" w:eastAsia="Times New Roman" w:hAnsi="RF Dewi" w:cs="Times New Roman"/>
          <w:caps/>
          <w:color w:val="0B528B"/>
          <w:spacing w:val="2"/>
          <w:sz w:val="30"/>
          <w:szCs w:val="30"/>
          <w:lang w:eastAsia="ru-RU"/>
        </w:rPr>
        <w:t xml:space="preserve">Раскрытие информации АКБ «Трансстройбанк» (АО) как профессиональным участником рынка ценных </w:t>
      </w:r>
      <w:proofErr w:type="spellStart"/>
      <w:r w:rsidRPr="00B94BB9">
        <w:rPr>
          <w:rFonts w:ascii="RF Dewi" w:eastAsia="Times New Roman" w:hAnsi="RF Dewi" w:cs="Times New Roman"/>
          <w:caps/>
          <w:color w:val="0B528B"/>
          <w:spacing w:val="2"/>
          <w:sz w:val="30"/>
          <w:szCs w:val="30"/>
          <w:lang w:eastAsia="ru-RU"/>
        </w:rPr>
        <w:t>бумаг</w:t>
      </w:r>
      <w:r w:rsidRPr="00B94BB9">
        <w:rPr>
          <w:rFonts w:ascii="RF Dewi" w:eastAsia="Times New Roman" w:hAnsi="RF Dewi" w:cs="Times New Roman"/>
          <w:color w:val="0B528B"/>
          <w:spacing w:val="2"/>
          <w:sz w:val="24"/>
          <w:szCs w:val="24"/>
          <w:lang w:eastAsia="ru-RU"/>
        </w:rPr>
        <w:t>Свернуть</w:t>
      </w:r>
      <w:proofErr w:type="spellEnd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fldChar w:fldCharType="end"/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Раскрытие информации АКБ «</w:t>
      </w:r>
      <w:proofErr w:type="spellStart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как профессиональным участником рынка ценных бумаг.</w:t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 разделе публикуется информация об АКБ «</w:t>
      </w:r>
      <w:proofErr w:type="spellStart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как 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812"/>
        <w:gridCol w:w="3947"/>
      </w:tblGrid>
      <w:tr w:rsidR="00B94BB9" w:rsidRPr="00B94BB9" w:rsidTr="00B94BB9"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BB9" w:rsidRPr="00B94BB9" w:rsidTr="00B94BB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Информация о профессиональном участнике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профессионального участника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Акционерный коммерческий банк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(Акционерное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общество)/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АКБ «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(АО)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Joint Stock Commercial Bank «Transstroibank» (Joint Stock Company) / «Transstroibank»</w:t>
            </w:r>
          </w:p>
          <w:p w:rsidR="00B94BB9" w:rsidRPr="00B94BB9" w:rsidRDefault="00B94BB9" w:rsidP="00B94B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B94BB9" w:rsidRPr="00B94BB9" w:rsidRDefault="00B94BB9" w:rsidP="00B94BB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7730059592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1027739582089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115093, г. Москва, ул.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д.94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786-37-73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(495) 786-26-08 (факс)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</w:hyperlink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http://www.transstroybank.ru</w:t>
              </w:r>
            </w:hyperlink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tsbank@transstroibank.ru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расчетного счета и (или) корреспондентского счета (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субсчета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единоличного исполнительного органа профессионального участника;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внутреннего аудитора (руководителя службы внутреннего аудита) профессионального участника;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совета директоров (наблюдательного совета) профессионального участника;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кредитных организаций,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некредитных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некредитные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финансовые организации, а также 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контролера профессионального участника: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 Дмитрий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Сергеевич,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13.08.2018 по настоящее время – Контролер профессионального участника рынка ценных бумаг.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Шведова Наталья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Михайловна,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09.08.2021 по настоящее время - Начальник Службы внутреннего аудита,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08.01.2016 по 09.08.2021 – Начальник Службы внутреннего контроля.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Лицо, ответственное за организацию системы управления рисками (руководителя отдельного структурного подразделения, </w:t>
            </w: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ответственного за организацию системы управления рисками) профессионального участника: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Гринина Наталья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Владимировна,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18.10.2021 по настоящее время - Начальник Управления финансового анализа и риск-менеджмента,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наименования СРО и даты вступления профессионального участника в СРО;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и представительства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деятельность на рынке ценных бумаг осуществляется в Центральном офисе.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94 (м. Павелецкая / м.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Тульская)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+7 (495) 786-37-73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Факс: +7 (495) 786-26-08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работы: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9:00 - 18:30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обслуживания клиентов: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юридических лиц: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9:30 - 17:30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физических лиц: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пн-пт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9:30 - 18:30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документов, связанных с оказанием таких услуг, осуществляется также в следующих офисах: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Калининград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236022, г. Калининград, пер. Кирова, д. 2, пом. IV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(4012) 971-053, 971-054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09:30 - 17:30, обед: 13:00 - 14:00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Дополнительный офис в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420111, г. Казань, ул. Карла Маркса, д. 59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Телефон: +7 (843) 210-00-80, 204-21-02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Пермь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614007, г. Пермь, ул. Тимирязева, 24а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+7 (342) 206-53-23, 207-25-35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''Горьковский'' в г. Нижний Новгород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603000, г. Нижний Новгород, ул. Студеная, д. 5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Телефоны: 8 (831) 214-0135, 8 (831) 214-0120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Липецк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398001, г. Липецк, ул. Советская, д.45, пом. 4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 8 (4742) 47-60-12, 47-60-23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Тюмень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625023, Тюменская обл., г. Тюмень, ул. Республики, д. 175, часть нежилого пом. № 1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+7 (495) 786-37-73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вн.тел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4623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-пт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9:00 - 18:00,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сб-вс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выходной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09:30 - 17:30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офис в г. Вологда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160000, Вологодская область, городской округ город Вологда, г. Вологда, ул. Зосимовская, д. 47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Телефон: +7 (495) 786-37-73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вн.тел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4791, 4792, 4793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Режим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9:00 - 18:00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Технический перерыв: 12:00 - 12:30, 15:00 - 15:30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обслуживание клиентов: 09:15 - 17:30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Identification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TIN) или его аналога (при наличии);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физических лиц - фамилии, имени, отчества (при наличии);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Агенты (поверенные) отсутствуют</w:t>
            </w:r>
          </w:p>
        </w:tc>
      </w:tr>
      <w:tr w:rsidR="00B94BB9" w:rsidRPr="00B94BB9" w:rsidTr="00B94BB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Документы и отчетность профессионального участника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https://naufor.ru/tree.asp?n=16042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для физических лиц (действует с 30.04.2026)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 xml:space="preserve">Заявление об акцепте условий предоставления брокерских </w:t>
              </w:r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lastRenderedPageBreak/>
                <w:t>услуг для юридических лиц (действует с 30.04.2026)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Заявление об акцепте условий предоставления брокерских услуг с открытием и ведением ИИС (действует с 30.04.2026)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определяющий условия договора о порядке оказания профессиональным участником услуг на рынке ценных бумаг, 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Условия предоставления брокерских услуг (действуют с 30.04.2026)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Условия предоставления брокерских услуг с открытием и ведением ИИС (действуют с 30.04.2026)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14.02.2024)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Правила предоставления и использования систем 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</w:t>
              </w:r>
              <w:proofErr w:type="spellStart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13.09.2023)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Регламент признания лиц квалифицированными инвесторами в АКБ «</w:t>
              </w:r>
              <w:proofErr w:type="spellStart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 xml:space="preserve"> (АО) (действует с 07.11.2025)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банковских групп) отчетности и информации в 2024 году»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консолидированная финансовая отчетность (финансовая 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трех,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https://transstroybank.ru/o-banke/finansovaya-otchetnost/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B94BB9" w:rsidRPr="00B94BB9" w:rsidTr="00B94BB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3. Информация о деятельности профессионального участника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устранении технического сбоя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фактических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 технического сбоя;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устранения технического сбоя;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технических сбоев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прекращении доступа к раскрываемой информации (в том числе в связи с началом профилактических работ)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или предполагаемой причины (в случае невозможности установить фактическую причину на момент раскрытия информации) прекращения доступа к раскрываемой информации;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прекращения доступа к раскрываемой информации;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фактической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прекращения доступа к раскрываемой информации;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прекращения доступа к раскрываемой информации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судебного акта, которым заканчивается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производство по делу в суде;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по делам о банкротстве профессионального участника (при наличии)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дело о банкротстве;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 о банкротстве;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следующих судебных актов по делу о банкротстве: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(жалобы) принимаются профессиональным участником по указанным реквизитам: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115093, г. Москва, ул. 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Дубининская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94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 WEB-сервера АКБ «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Трансстройбанк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(АО) в сети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INTERNET: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http://www.transstroibank.ru</w:t>
              </w:r>
              <w:proofErr w:type="gramEnd"/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http://www.transstroуbank.ru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http://www.tsbnk.ru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Телефон: +7 (495) 786-37-73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8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E-mail: tsbank@transstroibank.ru</w:t>
              </w:r>
            </w:hyperlink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программного обеспечения;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описания рисков, связанных с использованием программного обеспечения, или ссылки на страницу сайта в сети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ДБО BS-</w:t>
            </w:r>
            <w:proofErr w:type="spell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Client</w:t>
            </w:r>
            <w:proofErr w:type="spell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x64 - система дистанционного банковского обслуживания для юридических лиц.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ДБО Faktura.ru - система дистанционного банковского обслуживания для физических лиц.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 осуществления электронного документооборота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риск, связанный с возможностью потерь при обмене сообщениями между Банком и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Клиентом посредством электронных файлов с использованием систем электронной почты.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конфиденциальности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передаваемой/получаемой информации может быть нарушен. Данные обстоятельства могут привести к возникновению 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B94BB9" w:rsidRPr="00B94BB9" w:rsidTr="00B94BB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брокеров;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наименования, TIN или его аналога (при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1067711004481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7750004023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«Московская Биржа ММВБ-РТС» (ПАО Московская Биржа)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1027739387411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7702077840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брокеру открыты специальные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брокерские счета (при наличии),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Кредитные организации и (или) иностранные кредитные организации, в которых брокеру открыты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брокерские счета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кредитных организаций;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наименования, TIN или его аналога (при наличии) иностранных организаций, в которых управляющему открыты лицевые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управлению ценными бумагами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клиринговых организаций;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управлению ценными бумагами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Депозитарием дополнительно раскрывается: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Условия осуществления депозитарной деятельности АКБ «</w:t>
              </w:r>
              <w:proofErr w:type="spellStart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» (АО) (действуют с 03.11.2023)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депонентами в депозитарий (действуют с 03.11.2023)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Формы документов, предоставляемые депозитарием депонентам (действуют с 03.11.2023)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системы (при его наличии);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(информационная система, в которой осуществляется выпуск цифровых финансовых активов, инвестиционная платформа) отсутствует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1027739132563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7702165310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«Независимая регистраторская компания Р.О.С.Т.» (АО «НРК- Р.О.С.Т.»)</w:t>
            </w:r>
          </w:p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 1027739216757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 7726030449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акта приема-передачи реестра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названия паевого инвестиционного фонда;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 наличии, деятельность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Тарифы комиссионного вознаграждения АКБ «</w:t>
              </w:r>
              <w:proofErr w:type="spellStart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Трансстройбанк</w:t>
              </w:r>
              <w:proofErr w:type="spellEnd"/>
              <w:r w:rsidRPr="00B94BB9">
                <w:rPr>
                  <w:rFonts w:ascii="RF Dewi" w:eastAsia="Times New Roman" w:hAnsi="RF Dewi" w:cs="Times New Roman"/>
                  <w:color w:val="0B528B"/>
                  <w:spacing w:val="2"/>
                  <w:sz w:val="24"/>
                  <w:szCs w:val="24"/>
                  <w:u w:val="single"/>
                  <w:lang w:eastAsia="ru-RU"/>
                </w:rPr>
                <w:t>» (АО) за депозитарные операции</w:t>
              </w:r>
            </w:hyperlink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Регистратором дополнительно раскрывается: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и сокращенного (при наличии) фирменного наименования, ОГРН и ИНН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эмитента (лица, обязанного по ценным бумагам), с которым заключен договор на ведение Реестра;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заключения договора на ведение Реестра;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акта приема-передачи Реестра (в случае прекращения договора на ведение Реестра);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</w:t>
            </w:r>
            <w:proofErr w:type="gramEnd"/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сокращенного (при наличии) фирменного наименования, ИНН и ОГРН эмитента (лица, обязанного по ценным бумагам);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прекращении договора на ведение Реестра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полного и сокращенного (при наличии) фирменного наименования, ОГРН и ИНН эмитента (лица, обязанного по ценным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бумагам), с которым был заключен договор на ведение Реестра;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прекращения договора на ведение Реестра;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ведению реестра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суда, рассматривающего спор;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номера дела;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судебного акта, которым заканчивается производство по делу в суде;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размера искового требования.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раскрывается в части, не 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инвестиционному консультированию не осуществляется</w:t>
            </w:r>
          </w:p>
        </w:tc>
      </w:tr>
      <w:tr w:rsidR="00B94BB9" w:rsidRPr="00B94BB9" w:rsidTr="00B94BB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наименования программы;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наличия аккредитации программы;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даты аккредитации программы;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4BB9" w:rsidRPr="00B94BB9" w:rsidRDefault="00B94BB9" w:rsidP="00B94BB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инвестиционному консультированию не осуществляется</w:t>
            </w:r>
          </w:p>
        </w:tc>
      </w:tr>
    </w:tbl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Если явно </w:t>
      </w:r>
      <w:proofErr w:type="gramStart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не указано</w:t>
      </w:r>
      <w:proofErr w:type="gramEnd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Дата и время размещения информации: 30.04.2026 г. 12 ч. 25 м</w:t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Внесены изменения в пп.12-13. информации профессионального участника, подлежащей обязательному раскрытию, в связи с размещением новых редакций Условий предоставления АКБ «</w:t>
      </w:r>
      <w:proofErr w:type="spellStart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брокерских услуг, Условий предоставления АКБ «</w:t>
      </w:r>
      <w:proofErr w:type="spellStart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t>» (АО) брокерских услуг с открытием и ведением индивидуального инвестиционного счета.</w:t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225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b/>
          <w:bCs/>
          <w:color w:val="202020"/>
          <w:spacing w:val="2"/>
          <w:sz w:val="24"/>
          <w:szCs w:val="24"/>
          <w:lang w:eastAsia="ru-RU"/>
        </w:rPr>
        <w:t>Ссылка на страницу, где размещены информационные документы, согласно Внутреннему стандарту НАУФОР «Требования к предоставлению брокерами физическим лицам - получателям финансовых услуг информационных документов о финансовых инструментах»:</w:t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3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https://transstroybank.ru/chastnym-klientam/investitsii/investitsii/brokerskoe-obsluzhivanie/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225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b/>
          <w:bCs/>
          <w:color w:val="202020"/>
          <w:spacing w:val="2"/>
          <w:sz w:val="24"/>
          <w:szCs w:val="24"/>
          <w:lang w:eastAsia="ru-RU"/>
        </w:rPr>
        <w:t>АКБ «</w:t>
      </w:r>
      <w:proofErr w:type="spellStart"/>
      <w:r w:rsidRPr="00B94BB9">
        <w:rPr>
          <w:rFonts w:ascii="RF Dewi" w:eastAsia="Times New Roman" w:hAnsi="RF Dewi" w:cs="Times New Roman"/>
          <w:b/>
          <w:bCs/>
          <w:color w:val="202020"/>
          <w:spacing w:val="2"/>
          <w:sz w:val="24"/>
          <w:szCs w:val="24"/>
          <w:lang w:eastAsia="ru-RU"/>
        </w:rPr>
        <w:t>Трансстройбанк</w:t>
      </w:r>
      <w:proofErr w:type="spellEnd"/>
      <w:r w:rsidRPr="00B94BB9">
        <w:rPr>
          <w:rFonts w:ascii="RF Dewi" w:eastAsia="Times New Roman" w:hAnsi="RF Dewi" w:cs="Times New Roman"/>
          <w:b/>
          <w:bCs/>
          <w:color w:val="202020"/>
          <w:spacing w:val="2"/>
          <w:sz w:val="24"/>
          <w:szCs w:val="24"/>
          <w:lang w:eastAsia="ru-RU"/>
        </w:rPr>
        <w:t xml:space="preserve">» (АО) не является участником системы возмещения стоимости имущества, которое учтено на индивидуальных </w:t>
      </w:r>
      <w:r w:rsidRPr="00B94BB9">
        <w:rPr>
          <w:rFonts w:ascii="RF Dewi" w:eastAsia="Times New Roman" w:hAnsi="RF Dewi" w:cs="Times New Roman"/>
          <w:b/>
          <w:bCs/>
          <w:color w:val="202020"/>
          <w:spacing w:val="2"/>
          <w:sz w:val="24"/>
          <w:szCs w:val="24"/>
          <w:lang w:eastAsia="ru-RU"/>
        </w:rPr>
        <w:lastRenderedPageBreak/>
        <w:t>инвестиционных счетах (ИИС). Инвесторы, которым открыты ИИС, не могут рассчитывать на возмещение стоимости имущества, учитываемого на ИИС, за счет Фонда гарантирования ИИС в случае несостоятельности (банкротства) организации.</w:t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Autospacing="1" w:after="0" w:afterAutospacing="1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r w:rsidRPr="00B94BB9"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  <w:br/>
      </w:r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4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30.04.2026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5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16.04.2026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6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06.03.2026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7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07.11.2025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8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21.10.2025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39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14.08.2025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0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23.05.2025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1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13.02.2025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2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09.07.2024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3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26.06.2024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4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05.06.2024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5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01.04.2024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6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05.03.2024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7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27.02.2024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8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03.11.2023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49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26.10.2023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0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06.10.2023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1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28.09.2023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2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01.09.2023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3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16.08.2023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4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06.04.2023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5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30.03.2023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6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01.09.2022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7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26.08.2022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8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24.03.2022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59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18.03.2022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0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08.11.2021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1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01.11.2021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2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01.10.2021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3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24.09.2021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4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01.09.2021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5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25.08.2021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6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09.06.2021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7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03.06.2021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8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26.04.2021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69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20.04.2021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0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01.04.2021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1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26.03.2021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2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24.08.2020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3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13.08.2020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4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05.02.2020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5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31.01.2020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6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02.12.2019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7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27.11.2019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8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30.07.2019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79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18.07.2019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80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09.07.2019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81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04.07.2019</w:t>
        </w:r>
      </w:hyperlink>
    </w:p>
    <w:p w:rsidR="00B94BB9" w:rsidRPr="00B94BB9" w:rsidRDefault="00B94BB9" w:rsidP="00B94BB9">
      <w:pPr>
        <w:pBdr>
          <w:bottom w:val="single" w:sz="6" w:space="0" w:color="DDDDDD"/>
        </w:pBdr>
        <w:shd w:val="clear" w:color="auto" w:fill="F9FBFB"/>
        <w:spacing w:before="150" w:after="150" w:line="240" w:lineRule="auto"/>
        <w:rPr>
          <w:rFonts w:ascii="RF Dewi" w:eastAsia="Times New Roman" w:hAnsi="RF Dewi" w:cs="Times New Roman"/>
          <w:color w:val="202020"/>
          <w:spacing w:val="2"/>
          <w:sz w:val="24"/>
          <w:szCs w:val="24"/>
          <w:lang w:eastAsia="ru-RU"/>
        </w:rPr>
      </w:pPr>
      <w:hyperlink r:id="rId82" w:history="1">
        <w:r w:rsidRPr="00B94BB9">
          <w:rPr>
            <w:rFonts w:ascii="RF Dewi" w:eastAsia="Times New Roman" w:hAnsi="RF Dewi" w:cs="Times New Roman"/>
            <w:color w:val="0B528B"/>
            <w:spacing w:val="2"/>
            <w:sz w:val="24"/>
            <w:szCs w:val="24"/>
            <w:u w:val="single"/>
            <w:lang w:eastAsia="ru-RU"/>
          </w:rPr>
          <w:t>АРХИВ ОТ 22.02.2019</w:t>
        </w:r>
      </w:hyperlink>
    </w:p>
    <w:p w:rsidR="00F742D3" w:rsidRDefault="00F742D3">
      <w:bookmarkStart w:id="0" w:name="_GoBack"/>
      <w:bookmarkEnd w:id="0"/>
    </w:p>
    <w:sectPr w:rsidR="00F7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543"/>
    <w:multiLevelType w:val="multilevel"/>
    <w:tmpl w:val="CC3E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BE"/>
    <w:rsid w:val="00B94BB9"/>
    <w:rsid w:val="00BE7EBE"/>
    <w:rsid w:val="00F7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F26CB2-CD9D-446C-AC0F-D027E12D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sbnk.ru/" TargetMode="External"/><Relationship Id="rId21" Type="http://schemas.openxmlformats.org/officeDocument/2006/relationships/hyperlink" Target="https://transstroybank.ru/o-banke/finansovaya-otchetnost/" TargetMode="External"/><Relationship Id="rId42" Type="http://schemas.openxmlformats.org/officeDocument/2006/relationships/hyperlink" Target="https://transstroybank.ru/2024/Brocker/archive_09.07.24.docx" TargetMode="External"/><Relationship Id="rId47" Type="http://schemas.openxmlformats.org/officeDocument/2006/relationships/hyperlink" Target="https://transstroybank.ru/2024/Brocker/archive_27.02.24.docx" TargetMode="External"/><Relationship Id="rId63" Type="http://schemas.openxmlformats.org/officeDocument/2006/relationships/hyperlink" Target="https://transstroybank.ru/2021/september/24/%D0%90%D1%80%D1%85%D0%B8%D0%B2240921.docx" TargetMode="External"/><Relationship Id="rId68" Type="http://schemas.openxmlformats.org/officeDocument/2006/relationships/hyperlink" Target="https://transstroybank.ru/2021/april/26/%D0%B0%D1%80%D1%85%D0%B8%D0%B2260421.docx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transstroybank.ru/2026/p13/%D0%A3%D1%81%D0%BB%D0%BE%D0%B2%D0%B8%D1%8F%20%D0%BF%D1%80%D0%B5%D0%B4%D0%BE%D1%81%D1%82%D0%B0%D0%B2%D0%BB%D0%B5%D0%BD%D0%B8%D1%8F%20%D0%90%D0%9A%D0%91%20%C2%AB%D0%A2%D1%80%D0%B0%D0%BD%D1%81%D1%81%D1%82%D1%80%D0%BE%D0%B9%D0%B1%D0%B0%D0%BD%D0%BA%C2%BB%20(%D0%90%D0%9E)%20(%D0%98%D0%98%D0%A1)%2013.26%20(%D0%B2%D1%81%D1%82%D1%83%D0%BF%D0%B0%D1%8E%D1%82%20%D0%B2%20%D1%81%D0%B8%D0%BB%D1%83%20%D1%81%2030.04.2026%20).docx" TargetMode="External"/><Relationship Id="rId11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32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37" Type="http://schemas.openxmlformats.org/officeDocument/2006/relationships/hyperlink" Target="https://transstroybank.ru/2025/Brocker/archive_07.11.25.docx" TargetMode="External"/><Relationship Id="rId53" Type="http://schemas.openxmlformats.org/officeDocument/2006/relationships/hyperlink" Target="https://transstroybank.ru/2023/Brocker/archive_16.08.23.docx" TargetMode="External"/><Relationship Id="rId58" Type="http://schemas.openxmlformats.org/officeDocument/2006/relationships/hyperlink" Target="https://transstroybank.ru/2022/3/%D0%90%D1%80%D1%85%D0%B8%D0%B2240322.docx" TargetMode="External"/><Relationship Id="rId74" Type="http://schemas.openxmlformats.org/officeDocument/2006/relationships/hyperlink" Target="https://transstroybank.ru/zagruzka/galkin/%D0%90%D1%80%D1%85%D0%B8%D0%B2%20050520.docx" TargetMode="External"/><Relationship Id="rId79" Type="http://schemas.openxmlformats.org/officeDocument/2006/relationships/hyperlink" Target="https://transstroybank.ru/zagruzka/%D0%90%D1%80%D1%85%D0%B8%D0%B2%20%D0%BE%D1%82%2018.07.2019.docx" TargetMode="External"/><Relationship Id="rId5" Type="http://schemas.openxmlformats.org/officeDocument/2006/relationships/hyperlink" Target="http://www.transstroibank.ru/" TargetMode="External"/><Relationship Id="rId61" Type="http://schemas.openxmlformats.org/officeDocument/2006/relationships/hyperlink" Target="https://transstroybank.ru/2021/november/%D0%90%D1%80%D1%85%D0%B8%D0%B2011121.docx" TargetMode="External"/><Relationship Id="rId82" Type="http://schemas.openxmlformats.org/officeDocument/2006/relationships/hyperlink" Target="https://transstroybank.ru/zagruzka/%D0%90%D1%80%D1%85%D0%B8%D0%B2%20%D0%BE%D1%82%2022.02.2019.docx" TargetMode="External"/><Relationship Id="rId19" Type="http://schemas.openxmlformats.org/officeDocument/2006/relationships/hyperlink" Target="https://transstroybank.ru/2025/p15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5).docx" TargetMode="External"/><Relationship Id="rId14" Type="http://schemas.openxmlformats.org/officeDocument/2006/relationships/hyperlink" Target="https://transstroybank.ru/2026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(%D0%98%D0%98%D0%A1)%20(%D0%B2%D1%81%D1%82%D1%83%D0%BF%D0%B0%D0%B5%D1%82%20%D0%B2%20%D1%81%D0%B8%D0%BB%D1%83%20%D1%81%2030.04.2026).doc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tel:+7%20(495)%20786-37-73" TargetMode="External"/><Relationship Id="rId30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35" Type="http://schemas.openxmlformats.org/officeDocument/2006/relationships/hyperlink" Target="https://transstroybank.ru/2026/Brocker/archive_16.04.26.docx" TargetMode="External"/><Relationship Id="rId43" Type="http://schemas.openxmlformats.org/officeDocument/2006/relationships/hyperlink" Target="https://transstroybank.ru/2024/Brocker/archive_26.06.24.docx" TargetMode="External"/><Relationship Id="rId48" Type="http://schemas.openxmlformats.org/officeDocument/2006/relationships/hyperlink" Target="https://transstroybank.ru/2023/Brocker/archive_03.11.23.docx" TargetMode="External"/><Relationship Id="rId56" Type="http://schemas.openxmlformats.org/officeDocument/2006/relationships/hyperlink" Target="https://transstroybank.ru/2022/9/%D0%90%D0%A0%D0%A5%D0%98%D0%92%20%D0%9E%D0%A2%2001.09.22.docx" TargetMode="External"/><Relationship Id="rId64" Type="http://schemas.openxmlformats.org/officeDocument/2006/relationships/hyperlink" Target="https://transstroybank.ru/2021/september/01/%D0%B0%D1%80%D1%85%D0%B8%D0%B2010921.docx" TargetMode="External"/><Relationship Id="rId69" Type="http://schemas.openxmlformats.org/officeDocument/2006/relationships/hyperlink" Target="https://transstroybank.ru/2021/april/20/%D0%B0%D1%80%D1%85%D0%B8%D0%B2200421.docx" TargetMode="External"/><Relationship Id="rId77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8" Type="http://schemas.openxmlformats.org/officeDocument/2006/relationships/hyperlink" Target="mailto:tsbank@transstroibank.ru" TargetMode="External"/><Relationship Id="rId51" Type="http://schemas.openxmlformats.org/officeDocument/2006/relationships/hyperlink" Target="https://transstroybank.ru/2023/Brocker/archive_28.09.23.docx" TargetMode="External"/><Relationship Id="rId72" Type="http://schemas.openxmlformats.org/officeDocument/2006/relationships/hyperlink" Target="https://transstroybank.ru/zagruzka/galkin/200824/%D0%90%D0%A0%D0%A5%D0%98%D0%92%20240820.docx" TargetMode="External"/><Relationship Id="rId80" Type="http://schemas.openxmlformats.org/officeDocument/2006/relationships/hyperlink" Target="https://transstroybank.ru/zagruzka/%D0%B0%D1%80%D1%85%D0%B8%D0%B2%2009.07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ransstroybank.ru/2026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4%D0%9B%20(%D0%B2%D1%81%D1%82%D1%83%D0%BF%D0%B0%D0%B5%D1%82%20%D0%B2%20%D1%81%D0%B8%D0%BB%D1%83%20%D1%81%2030.04.2026).doc" TargetMode="External"/><Relationship Id="rId17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25" Type="http://schemas.openxmlformats.org/officeDocument/2006/relationships/hyperlink" Target="https://transstroybank.ru/" TargetMode="External"/><Relationship Id="rId33" Type="http://schemas.openxmlformats.org/officeDocument/2006/relationships/hyperlink" Target="https://transstroybank.ru/chastnym-klientam/investitsii/investitsii/brokerskoe-obsluzhivanie/" TargetMode="External"/><Relationship Id="rId38" Type="http://schemas.openxmlformats.org/officeDocument/2006/relationships/hyperlink" Target="https://transstroybank.ru/2025/Brocker/archive_21.10.25.docx" TargetMode="External"/><Relationship Id="rId46" Type="http://schemas.openxmlformats.org/officeDocument/2006/relationships/hyperlink" Target="https://transstroybank.ru/2024/Brocker/archive_05.03.24.docx" TargetMode="External"/><Relationship Id="rId59" Type="http://schemas.openxmlformats.org/officeDocument/2006/relationships/hyperlink" Target="https://transstroybank.ru/2022/%D0%90%D1%80%D1%85%D0%B8%D0%B2%2018.03.22.docx" TargetMode="External"/><Relationship Id="rId67" Type="http://schemas.openxmlformats.org/officeDocument/2006/relationships/hyperlink" Target="https://transstroybank.ru/2021/june/%D0%B0%D1%80%D1%85%D0%B8%D0%B2210603.docx" TargetMode="External"/><Relationship Id="rId20" Type="http://schemas.openxmlformats.org/officeDocument/2006/relationships/hyperlink" Target="https://transstroybank.ru/o-banke/finansovaya-otchetnost/" TargetMode="External"/><Relationship Id="rId41" Type="http://schemas.openxmlformats.org/officeDocument/2006/relationships/hyperlink" Target="https://transstroybank.ru/2025/Brocker/archive_13.02.25.docx" TargetMode="External"/><Relationship Id="rId54" Type="http://schemas.openxmlformats.org/officeDocument/2006/relationships/hyperlink" Target="https://transstroybank.ru/2023/Brocker/archive_06.04.23.docx" TargetMode="External"/><Relationship Id="rId62" Type="http://schemas.openxmlformats.org/officeDocument/2006/relationships/hyperlink" Target="https://transstroybank.ru/2021/october/1/%D0%90%D1%80%D1%85%D0%B8%D0%B2011021.docx" TargetMode="External"/><Relationship Id="rId70" Type="http://schemas.openxmlformats.org/officeDocument/2006/relationships/hyperlink" Target="https://transstroybank.ru/2021/april/%D0%B0%D1%80%D1%85%D0%B8%D0%B20104.docx" TargetMode="External"/><Relationship Id="rId75" Type="http://schemas.openxmlformats.org/officeDocument/2006/relationships/hyperlink" Target="https://transstroybank.ru/zagruzka/galkin/%D0%B0%D1%80%D1%85%D0%B8%D0%B2310120.docx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ransstroybank.ru/" TargetMode="External"/><Relationship Id="rId15" Type="http://schemas.openxmlformats.org/officeDocument/2006/relationships/hyperlink" Target="https://transstroybank.ru/2026/p13/%D0%A3%D1%81%D0%BB%D0%BE%D0%B2%D0%B8%D1%8F%20%D0%BF%D1%80%D0%B5%D0%B4%D0%BE%D1%81%D1%82%D0%B0%D0%B2%D0%BB%D0%B5%D0%BD%D0%B8%D1%8F%20%D0%90%D0%9A%D0%91%20%C2%AB%D0%A2%D1%80%D0%B0%D0%BD%D1%81%D1%81%D1%82%D1%80%D0%BE%D0%B9%D0%B1%D0%B0%D0%BD%D0%BA%C2%BB%20(%D0%90%D0%9E)%20(%D0%91%D0%A3)%2013.26%20(%D0%B2%D1%81%D1%82%D1%83%D0%BF%D0%B0%D1%8E%D1%82%20%D0%B2%20%D1%81%D0%B8%D0%BB%D1%83%20%D1%81%2030.04.2026%20).doc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mailto:tsbank@transstroibank.ru" TargetMode="External"/><Relationship Id="rId36" Type="http://schemas.openxmlformats.org/officeDocument/2006/relationships/hyperlink" Target="https://transstroybank.ru/2026/Brocker/archive_06.03.26.docx" TargetMode="External"/><Relationship Id="rId49" Type="http://schemas.openxmlformats.org/officeDocument/2006/relationships/hyperlink" Target="https://transstroybank.ru/2023/Brocker/archive_26.10.23.docx" TargetMode="External"/><Relationship Id="rId57" Type="http://schemas.openxmlformats.org/officeDocument/2006/relationships/hyperlink" Target="https://transstroybank.ru/2022/8/%D0%90%D0%A0%D0%A5%D0%98%D0%92%20%D0%9E%D0%A2%2026.08.22.docx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44" Type="http://schemas.openxmlformats.org/officeDocument/2006/relationships/hyperlink" Target="https://transstroybank.ru/2024/Brocker/archive_05.06.24.docx" TargetMode="External"/><Relationship Id="rId52" Type="http://schemas.openxmlformats.org/officeDocument/2006/relationships/hyperlink" Target="https://transstroybank.ru/2023/Brocker/archive_01.09.23.docx" TargetMode="External"/><Relationship Id="rId60" Type="http://schemas.openxmlformats.org/officeDocument/2006/relationships/hyperlink" Target="https://transstroybank.ru/2021/november/%D0%90%D1%80%D1%85%D0%B8%D0%B2081121.docx" TargetMode="External"/><Relationship Id="rId65" Type="http://schemas.openxmlformats.org/officeDocument/2006/relationships/hyperlink" Target="https://transstroybank.ru/2021/august/2508/%D0%90%D1%80%D1%85%D0%B8%D0%B2%20%D0%BE%D1%82%2025.08.2021.docx" TargetMode="External"/><Relationship Id="rId73" Type="http://schemas.openxmlformats.org/officeDocument/2006/relationships/hyperlink" Target="https://transstroybank.ru/zagruzka/130820/%D0%B0%D1%80%D1%85%D0%B8%D0%B2%20%D0%BE%D1%82%2013.08.20.docx" TargetMode="External"/><Relationship Id="rId78" Type="http://schemas.openxmlformats.org/officeDocument/2006/relationships/hyperlink" Target="https://transstroybank.ru/zagruzka/%D0%B0%D1%80%D1%85%D0%B8%D0%B2%2030.07.docx" TargetMode="External"/><Relationship Id="rId81" Type="http://schemas.openxmlformats.org/officeDocument/2006/relationships/hyperlink" Target="https://transstroybank.ru/zagruzka/%D0%90%D1%80%D1%85%D0%B8%D0%B2%20%D0%BE%D1%82%2004.07.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for.ru/tree.asp?n=16042" TargetMode="External"/><Relationship Id="rId13" Type="http://schemas.openxmlformats.org/officeDocument/2006/relationships/hyperlink" Target="https://transstroybank.ru/2026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0%AE%D0%9B%20(%D0%B2%D1%81%D1%82%D1%83%D0%BF%D0%B0%D0%B5%D1%82%20%D0%B2%20%D1%81%D0%B8%D0%BB%D1%83%20%D1%81%2030.04.2026).doc" TargetMode="External"/><Relationship Id="rId18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39" Type="http://schemas.openxmlformats.org/officeDocument/2006/relationships/hyperlink" Target="https://transstroybank.ru/2025/Brocker/archive_14.08.25.docx" TargetMode="External"/><Relationship Id="rId34" Type="http://schemas.openxmlformats.org/officeDocument/2006/relationships/hyperlink" Target="https://transstroybank.ru/2026/Brocker/archive_30.04.26.docx" TargetMode="External"/><Relationship Id="rId50" Type="http://schemas.openxmlformats.org/officeDocument/2006/relationships/hyperlink" Target="https://transstroybank.ru/2023/Brocker/archive_06.10.23.docx" TargetMode="External"/><Relationship Id="rId55" Type="http://schemas.openxmlformats.org/officeDocument/2006/relationships/hyperlink" Target="https://transstroybank.ru/2023/Brocker/archive_30.03.23.docx" TargetMode="External"/><Relationship Id="rId76" Type="http://schemas.openxmlformats.org/officeDocument/2006/relationships/hyperlink" Target="https://transstroybank.ru/zagruzka/galkin/%D0%B0%D1%80%D1%85%D0%B8%D0%B20212.docx" TargetMode="External"/><Relationship Id="rId7" Type="http://schemas.openxmlformats.org/officeDocument/2006/relationships/hyperlink" Target="http://www.tsbnk.ru/" TargetMode="External"/><Relationship Id="rId71" Type="http://schemas.openxmlformats.org/officeDocument/2006/relationships/hyperlink" Target="https://transstroybank.ru/zagruzka/%D0%BC%D0%B0%D1%80%D1%82/%D0%B0%D1%80%D1%85%D0%B8%D0%B2260321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4" Type="http://schemas.openxmlformats.org/officeDocument/2006/relationships/hyperlink" Target="http://www.transstroibank.ru/" TargetMode="External"/><Relationship Id="rId40" Type="http://schemas.openxmlformats.org/officeDocument/2006/relationships/hyperlink" Target="https://transstroybank.ru/2025/Brocker/archive_23.05.25.docx" TargetMode="External"/><Relationship Id="rId45" Type="http://schemas.openxmlformats.org/officeDocument/2006/relationships/hyperlink" Target="https://transstroybank.ru/2024/Brocker/archive_01.04.24.docx" TargetMode="External"/><Relationship Id="rId66" Type="http://schemas.openxmlformats.org/officeDocument/2006/relationships/hyperlink" Target="https://transstroybank.ru/2021/june/09/%D0%B0%D1%80%D1%85%D0%B8%D0%B221060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9356</Words>
  <Characters>53332</Characters>
  <Application>Microsoft Office Word</Application>
  <DocSecurity>0</DocSecurity>
  <Lines>444</Lines>
  <Paragraphs>125</Paragraphs>
  <ScaleCrop>false</ScaleCrop>
  <Company>Hewlett-Packard Company</Company>
  <LinksUpToDate>false</LinksUpToDate>
  <CharactersWithSpaces>62563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2</cp:revision>
  <dcterms:created xsi:type="dcterms:W3CDTF">2026-06-11T05:27:00Z</dcterms:created>
  <dcterms:modified xsi:type="dcterms:W3CDTF">2026-06-11T05:27:00Z</dcterms:modified>
</cp:coreProperties>
</file>